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33" w:rsidRPr="008F51BE" w:rsidRDefault="00A33533" w:rsidP="00A3353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4820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  <w:bookmarkStart w:id="0" w:name="_GoBack"/>
      <w:bookmarkEnd w:id="0"/>
      <w:r w:rsidRPr="008F51BE">
        <w:rPr>
          <w:szCs w:val="20"/>
          <w:lang w:eastAsia="de-DE"/>
        </w:rPr>
        <w:t xml:space="preserve">Schulgemeinde </w:t>
      </w:r>
      <w:r w:rsidRPr="0018482B">
        <w:rPr>
          <w:rFonts w:eastAsia="Arial Unicode MS" w:cs="Arial"/>
          <w:highlight w:val="yellow"/>
        </w:rPr>
        <w:t>X</w:t>
      </w:r>
    </w:p>
    <w:p w:rsidR="00A33533" w:rsidRPr="008F51BE" w:rsidRDefault="00A33533" w:rsidP="00A3353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4820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  <w:r w:rsidRPr="008F51BE">
        <w:rPr>
          <w:szCs w:val="20"/>
          <w:lang w:eastAsia="de-DE"/>
        </w:rPr>
        <w:t>Schulpflege</w:t>
      </w:r>
    </w:p>
    <w:p w:rsidR="00A33533" w:rsidRPr="008F51BE" w:rsidRDefault="00A33533" w:rsidP="00A3353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  <w:r w:rsidRPr="0018482B">
        <w:rPr>
          <w:rFonts w:eastAsia="Arial Unicode MS" w:cs="Arial"/>
          <w:highlight w:val="yellow"/>
        </w:rPr>
        <w:t>...</w:t>
      </w:r>
      <w:r w:rsidRPr="008F51BE">
        <w:rPr>
          <w:szCs w:val="20"/>
          <w:lang w:eastAsia="de-DE"/>
        </w:rPr>
        <w:t xml:space="preserve">strasse </w:t>
      </w:r>
      <w:r w:rsidRPr="0018482B">
        <w:rPr>
          <w:rFonts w:eastAsia="Arial Unicode MS" w:cs="Arial"/>
          <w:highlight w:val="yellow"/>
        </w:rPr>
        <w:t>...</w:t>
      </w:r>
    </w:p>
    <w:p w:rsidR="00A33533" w:rsidRPr="0018482B" w:rsidRDefault="00A33533" w:rsidP="00A3353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Arial Unicode MS" w:cs="Arial"/>
          <w:highlight w:val="yellow"/>
        </w:rPr>
      </w:pPr>
      <w:r w:rsidRPr="0018482B">
        <w:rPr>
          <w:rFonts w:eastAsia="Arial Unicode MS" w:cs="Arial"/>
          <w:highlight w:val="yellow"/>
        </w:rPr>
        <w:t>PLZ X</w:t>
      </w:r>
    </w:p>
    <w:p w:rsidR="008F51BE" w:rsidRPr="008F51BE" w:rsidRDefault="008F51BE" w:rsidP="008F51BE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 w:line="120" w:lineRule="exact"/>
        <w:rPr>
          <w:rFonts w:eastAsia="Arial Unicode MS" w:cs="Arial"/>
        </w:rPr>
      </w:pPr>
    </w:p>
    <w:p w:rsidR="008F51BE" w:rsidRDefault="00A33533" w:rsidP="008F51B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4820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  <w:r>
        <w:rPr>
          <w:szCs w:val="20"/>
          <w:lang w:eastAsia="de-DE"/>
        </w:rPr>
        <w:t xml:space="preserve">und </w:t>
      </w:r>
    </w:p>
    <w:p w:rsidR="00A33533" w:rsidRPr="008F51BE" w:rsidRDefault="00A33533" w:rsidP="008F51B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4820"/>
          <w:tab w:val="left" w:pos="5387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szCs w:val="20"/>
          <w:lang w:eastAsia="de-DE"/>
        </w:rPr>
      </w:pPr>
    </w:p>
    <w:p w:rsidR="00A33533" w:rsidRPr="0018482B" w:rsidRDefault="00A33533" w:rsidP="00A33533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/>
        <w:rPr>
          <w:rFonts w:eastAsia="Arial Unicode MS" w:cs="Arial"/>
          <w:highlight w:val="yellow"/>
        </w:rPr>
      </w:pPr>
      <w:r>
        <w:rPr>
          <w:rFonts w:eastAsia="Arial Unicode MS" w:cs="Arial"/>
        </w:rPr>
        <w:t xml:space="preserve">Politische </w:t>
      </w:r>
      <w:r w:rsidRPr="008F51BE">
        <w:rPr>
          <w:rFonts w:eastAsia="Arial Unicode MS" w:cs="Arial"/>
        </w:rPr>
        <w:t xml:space="preserve">Gemeinde </w:t>
      </w:r>
      <w:r w:rsidRPr="0018482B">
        <w:rPr>
          <w:rFonts w:eastAsia="Arial Unicode MS" w:cs="Arial"/>
          <w:highlight w:val="yellow"/>
        </w:rPr>
        <w:t>X</w:t>
      </w:r>
    </w:p>
    <w:p w:rsidR="00A33533" w:rsidRPr="008F51BE" w:rsidRDefault="00A33533" w:rsidP="00A33533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/>
        <w:rPr>
          <w:rFonts w:eastAsia="Arial Unicode MS" w:cs="Arial"/>
        </w:rPr>
      </w:pPr>
      <w:r w:rsidRPr="008F51BE">
        <w:rPr>
          <w:rFonts w:eastAsia="Arial Unicode MS" w:cs="Arial"/>
        </w:rPr>
        <w:t>Gemeinderat</w:t>
      </w:r>
    </w:p>
    <w:p w:rsidR="00A33533" w:rsidRPr="008F51BE" w:rsidRDefault="00A33533" w:rsidP="00A33533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/>
        <w:rPr>
          <w:rFonts w:eastAsia="Arial Unicode MS" w:cs="Arial"/>
        </w:rPr>
      </w:pPr>
      <w:r w:rsidRPr="0018482B">
        <w:rPr>
          <w:rFonts w:eastAsia="Arial Unicode MS" w:cs="Arial"/>
          <w:highlight w:val="yellow"/>
        </w:rPr>
        <w:t>...</w:t>
      </w:r>
      <w:r w:rsidRPr="008F51BE">
        <w:rPr>
          <w:rFonts w:eastAsia="Arial Unicode MS" w:cs="Arial"/>
        </w:rPr>
        <w:t xml:space="preserve">strasse </w:t>
      </w:r>
      <w:r w:rsidRPr="0018482B">
        <w:rPr>
          <w:rFonts w:eastAsia="Arial Unicode MS" w:cs="Arial"/>
          <w:highlight w:val="yellow"/>
        </w:rPr>
        <w:t>...</w:t>
      </w:r>
    </w:p>
    <w:p w:rsidR="00A33533" w:rsidRPr="008F51BE" w:rsidRDefault="00A33533" w:rsidP="00A33533">
      <w:pPr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8505"/>
        </w:tabs>
        <w:kinsoku w:val="0"/>
        <w:overflowPunct w:val="0"/>
        <w:autoSpaceDE w:val="0"/>
        <w:autoSpaceDN w:val="0"/>
        <w:spacing w:before="0"/>
        <w:rPr>
          <w:rFonts w:eastAsia="Arial Unicode MS" w:cs="Arial"/>
        </w:rPr>
      </w:pPr>
      <w:r w:rsidRPr="0018482B">
        <w:rPr>
          <w:rFonts w:eastAsia="Arial Unicode MS" w:cs="Arial"/>
          <w:highlight w:val="yellow"/>
        </w:rPr>
        <w:t>PLZ X</w:t>
      </w:r>
    </w:p>
    <w:p w:rsidR="008F51BE" w:rsidRDefault="008F51BE" w:rsidP="00A86F32">
      <w:pPr>
        <w:pStyle w:val="00Vorgabetext"/>
        <w:rPr>
          <w:b/>
        </w:rPr>
      </w:pPr>
    </w:p>
    <w:p w:rsidR="003847D9" w:rsidRPr="003E2C5D" w:rsidRDefault="006B2780" w:rsidP="00A86F32">
      <w:pPr>
        <w:pStyle w:val="00Vorgabetext"/>
        <w:rPr>
          <w:b/>
          <w:sz w:val="28"/>
          <w:szCs w:val="28"/>
        </w:rPr>
      </w:pPr>
      <w:r w:rsidRPr="003E2C5D">
        <w:rPr>
          <w:b/>
          <w:sz w:val="28"/>
          <w:szCs w:val="28"/>
        </w:rPr>
        <w:t>(Einzel-)</w:t>
      </w:r>
      <w:r w:rsidR="003847D9" w:rsidRPr="003E2C5D">
        <w:rPr>
          <w:b/>
          <w:sz w:val="28"/>
          <w:szCs w:val="28"/>
        </w:rPr>
        <w:t xml:space="preserve">Initiative </w:t>
      </w:r>
      <w:r w:rsidR="00AC274F">
        <w:rPr>
          <w:b/>
          <w:sz w:val="28"/>
          <w:szCs w:val="28"/>
        </w:rPr>
        <w:t>über die</w:t>
      </w:r>
    </w:p>
    <w:p w:rsidR="003847D9" w:rsidRPr="00AC3E7F" w:rsidRDefault="003847D9" w:rsidP="00A86F32">
      <w:pPr>
        <w:pStyle w:val="00Vorgabetext"/>
        <w:rPr>
          <w:b/>
          <w:sz w:val="24"/>
          <w:szCs w:val="24"/>
        </w:rPr>
      </w:pPr>
      <w:r w:rsidRPr="003E2C5D">
        <w:rPr>
          <w:b/>
          <w:sz w:val="24"/>
          <w:szCs w:val="24"/>
        </w:rPr>
        <w:t xml:space="preserve">Auflösung der (Primar-)Schulgemeinde </w:t>
      </w:r>
      <w:r w:rsidRPr="00AC3E7F">
        <w:rPr>
          <w:rFonts w:eastAsia="Arial Unicode MS" w:cs="Arial"/>
          <w:b/>
          <w:highlight w:val="yellow"/>
        </w:rPr>
        <w:t>X</w:t>
      </w:r>
      <w:r w:rsidRPr="003E2C5D">
        <w:rPr>
          <w:b/>
          <w:sz w:val="24"/>
          <w:szCs w:val="24"/>
        </w:rPr>
        <w:t xml:space="preserve"> und Übernahme der Schulaufga</w:t>
      </w:r>
      <w:r w:rsidR="00AC274F">
        <w:rPr>
          <w:b/>
          <w:sz w:val="24"/>
          <w:szCs w:val="24"/>
        </w:rPr>
        <w:softHyphen/>
      </w:r>
      <w:r w:rsidRPr="003E2C5D">
        <w:rPr>
          <w:b/>
          <w:sz w:val="24"/>
          <w:szCs w:val="24"/>
        </w:rPr>
        <w:t xml:space="preserve">ben durch die </w:t>
      </w:r>
      <w:r w:rsidR="008701FD">
        <w:rPr>
          <w:b/>
          <w:sz w:val="24"/>
          <w:szCs w:val="24"/>
        </w:rPr>
        <w:t xml:space="preserve">im selben Gebiet liegende </w:t>
      </w:r>
      <w:r w:rsidRPr="003E2C5D">
        <w:rPr>
          <w:b/>
          <w:sz w:val="24"/>
          <w:szCs w:val="24"/>
        </w:rPr>
        <w:t xml:space="preserve">politische Gemeinde </w:t>
      </w:r>
      <w:r w:rsidRPr="00AC3E7F">
        <w:rPr>
          <w:rFonts w:eastAsia="Arial Unicode MS" w:cs="Arial"/>
          <w:b/>
          <w:highlight w:val="yellow"/>
        </w:rPr>
        <w:t>X</w:t>
      </w:r>
      <w:r w:rsidR="00AC274F">
        <w:rPr>
          <w:b/>
          <w:sz w:val="24"/>
          <w:szCs w:val="24"/>
        </w:rPr>
        <w:t xml:space="preserve"> </w:t>
      </w:r>
      <w:r w:rsidRPr="003E2C5D">
        <w:rPr>
          <w:b/>
          <w:sz w:val="24"/>
          <w:szCs w:val="24"/>
        </w:rPr>
        <w:t>(</w:t>
      </w:r>
      <w:r w:rsidR="00AC274F">
        <w:rPr>
          <w:b/>
          <w:sz w:val="24"/>
          <w:szCs w:val="24"/>
        </w:rPr>
        <w:t>Bildung einer "Einheitsgemeinde</w:t>
      </w:r>
      <w:r w:rsidRPr="003E2C5D">
        <w:rPr>
          <w:b/>
          <w:sz w:val="24"/>
          <w:szCs w:val="24"/>
        </w:rPr>
        <w:t>")</w:t>
      </w:r>
    </w:p>
    <w:p w:rsidR="008F51BE" w:rsidRPr="003E2C5D" w:rsidRDefault="006B2780" w:rsidP="00A86F32">
      <w:pPr>
        <w:pStyle w:val="00Vorgabetext"/>
        <w:rPr>
          <w:b/>
        </w:rPr>
      </w:pPr>
      <w:r w:rsidRPr="003E2C5D">
        <w:rPr>
          <w:b/>
        </w:rPr>
        <w:t xml:space="preserve">Als Stimmberechtigte/r der Schulgemeinde </w:t>
      </w:r>
      <w:r w:rsidRPr="00D939E1">
        <w:rPr>
          <w:b/>
          <w:highlight w:val="yellow"/>
        </w:rPr>
        <w:t>X</w:t>
      </w:r>
      <w:r w:rsidRPr="003E2C5D">
        <w:rPr>
          <w:b/>
        </w:rPr>
        <w:t xml:space="preserve"> und der politischen Gemeinde </w:t>
      </w:r>
      <w:r w:rsidRPr="00AC3E7F">
        <w:rPr>
          <w:rFonts w:eastAsia="Arial Unicode MS" w:cs="Arial"/>
          <w:b/>
          <w:highlight w:val="yellow"/>
        </w:rPr>
        <w:t>X</w:t>
      </w:r>
      <w:r w:rsidR="00462C4F" w:rsidRPr="003E2C5D">
        <w:rPr>
          <w:b/>
        </w:rPr>
        <w:t xml:space="preserve"> beantrage ich die Auflösung der (Primar-)Schulgemeinde </w:t>
      </w:r>
      <w:r w:rsidR="00462C4F" w:rsidRPr="00AC274F">
        <w:rPr>
          <w:b/>
          <w:highlight w:val="yellow"/>
        </w:rPr>
        <w:t>X</w:t>
      </w:r>
      <w:r w:rsidR="00462C4F" w:rsidRPr="003E2C5D">
        <w:rPr>
          <w:b/>
        </w:rPr>
        <w:t xml:space="preserve"> und </w:t>
      </w:r>
      <w:r w:rsidR="00AC274F">
        <w:rPr>
          <w:b/>
        </w:rPr>
        <w:t xml:space="preserve">die </w:t>
      </w:r>
      <w:r w:rsidR="00462C4F" w:rsidRPr="003E2C5D">
        <w:rPr>
          <w:b/>
        </w:rPr>
        <w:t>Übernahme der Schulaufgaben durch die politische Gemeinde</w:t>
      </w:r>
      <w:r w:rsidR="00462C4F" w:rsidRPr="0018482B">
        <w:rPr>
          <w:rFonts w:eastAsia="Arial Unicode MS" w:cs="Arial"/>
        </w:rPr>
        <w:t xml:space="preserve"> </w:t>
      </w:r>
      <w:r w:rsidR="00462C4F" w:rsidRPr="0018482B">
        <w:rPr>
          <w:rFonts w:eastAsia="Arial Unicode MS" w:cs="Arial"/>
          <w:b/>
          <w:highlight w:val="yellow"/>
        </w:rPr>
        <w:t>X</w:t>
      </w:r>
      <w:r w:rsidR="00462C4F" w:rsidRPr="003E2C5D">
        <w:rPr>
          <w:b/>
        </w:rPr>
        <w:t xml:space="preserve"> (Art. 84 Abs. 2 und 3 </w:t>
      </w:r>
      <w:r w:rsidR="00A81575">
        <w:rPr>
          <w:b/>
        </w:rPr>
        <w:t xml:space="preserve">und Art. 89 Abs. 1 und 2 </w:t>
      </w:r>
      <w:r w:rsidR="00462C4F" w:rsidRPr="003E2C5D">
        <w:rPr>
          <w:b/>
        </w:rPr>
        <w:t>Kan</w:t>
      </w:r>
      <w:r w:rsidR="00AC274F">
        <w:rPr>
          <w:b/>
        </w:rPr>
        <w:softHyphen/>
      </w:r>
      <w:r w:rsidR="00C45030">
        <w:rPr>
          <w:b/>
        </w:rPr>
        <w:t>tonsverfassung, LS 101,</w:t>
      </w:r>
      <w:r w:rsidR="00462C4F" w:rsidRPr="003E2C5D">
        <w:rPr>
          <w:b/>
        </w:rPr>
        <w:t xml:space="preserve"> in Verbindung mit </w:t>
      </w:r>
      <w:r w:rsidR="008F51BE" w:rsidRPr="003E2C5D">
        <w:rPr>
          <w:b/>
        </w:rPr>
        <w:t xml:space="preserve">§ 154 Abs. 1 Gemeindegesetz </w:t>
      </w:r>
      <w:r w:rsidR="00C45030">
        <w:rPr>
          <w:b/>
        </w:rPr>
        <w:t>[</w:t>
      </w:r>
      <w:r w:rsidR="000D669F">
        <w:rPr>
          <w:b/>
        </w:rPr>
        <w:t xml:space="preserve">GG, </w:t>
      </w:r>
      <w:r w:rsidR="008F51BE" w:rsidRPr="003E2C5D">
        <w:rPr>
          <w:b/>
        </w:rPr>
        <w:t>LS 131.1</w:t>
      </w:r>
      <w:r w:rsidR="00C45030">
        <w:rPr>
          <w:b/>
        </w:rPr>
        <w:t>]</w:t>
      </w:r>
      <w:r w:rsidR="008F51BE" w:rsidRPr="003E2C5D">
        <w:rPr>
          <w:b/>
        </w:rPr>
        <w:t xml:space="preserve">). </w:t>
      </w:r>
    </w:p>
    <w:p w:rsidR="003847D9" w:rsidRDefault="008F51BE" w:rsidP="00A33533">
      <w:pPr>
        <w:pStyle w:val="00Vorgabetext"/>
      </w:pPr>
      <w:r>
        <w:t xml:space="preserve">Das Verfahren zur Behandlung der Initiative richtet sich nach </w:t>
      </w:r>
      <w:r w:rsidR="00172C5D">
        <w:t xml:space="preserve">§ 154 Abs. 2 GG i.V.m. </w:t>
      </w:r>
      <w:r w:rsidR="00462C4F">
        <w:t>§§ 146 ff. Gesetz über die politischen Rechte (</w:t>
      </w:r>
      <w:r w:rsidR="00A33533">
        <w:t xml:space="preserve">GPR, </w:t>
      </w:r>
      <w:r w:rsidR="00462C4F">
        <w:t>LS 161).</w:t>
      </w:r>
      <w:r w:rsidRPr="008F51BE">
        <w:t xml:space="preserve"> </w:t>
      </w:r>
      <w:r w:rsidR="00A33533">
        <w:t>Gemeinderat und Schul</w:t>
      </w:r>
      <w:r w:rsidR="009F3F89">
        <w:softHyphen/>
      </w:r>
      <w:r w:rsidR="00A33533">
        <w:t xml:space="preserve">pflege haben innert dreier Monate nach Einreichung der Initiative über ihre Gültigkeit zu beschliessen (§ 150 Abs. 3 GPR). </w:t>
      </w:r>
      <w:r w:rsidRPr="008F51BE">
        <w:t>Die Urnenabstimmung</w:t>
      </w:r>
      <w:r w:rsidR="00A33533">
        <w:t xml:space="preserve"> über die Initiative</w:t>
      </w:r>
      <w:r w:rsidRPr="008F51BE">
        <w:t xml:space="preserve"> </w:t>
      </w:r>
      <w:r>
        <w:t xml:space="preserve">hat innert sechs Monaten nach dem </w:t>
      </w:r>
      <w:r w:rsidRPr="008F51BE">
        <w:t xml:space="preserve">Beschluss </w:t>
      </w:r>
      <w:r>
        <w:t xml:space="preserve">beider Gemeindevorstände </w:t>
      </w:r>
      <w:r w:rsidRPr="008F51BE">
        <w:t>über die Gültig</w:t>
      </w:r>
      <w:r w:rsidR="009F3F89">
        <w:softHyphen/>
      </w:r>
      <w:r w:rsidRPr="008F51BE">
        <w:t>keit der Initiative statt</w:t>
      </w:r>
      <w:r w:rsidR="00AC274F">
        <w:softHyphen/>
      </w:r>
      <w:r>
        <w:t>zufinden</w:t>
      </w:r>
      <w:r w:rsidR="00A33533">
        <w:t xml:space="preserve"> (§ 152 Abs. 2 GPR)</w:t>
      </w:r>
      <w:r w:rsidRPr="008F51BE">
        <w:t>.</w:t>
      </w:r>
    </w:p>
    <w:p w:rsidR="003847D9" w:rsidRDefault="003E2C5D" w:rsidP="00A86F32">
      <w:pPr>
        <w:pStyle w:val="00Vorgabetext"/>
      </w:pPr>
      <w:r>
        <w:t xml:space="preserve">Mit der Bildung einer Einheitsgemeinde sollen die Strukturen der Gemeinde </w:t>
      </w:r>
      <w:r w:rsidRPr="00AC3E7F">
        <w:rPr>
          <w:highlight w:val="yellow"/>
        </w:rPr>
        <w:t>X</w:t>
      </w:r>
      <w:r>
        <w:t xml:space="preserve"> verein</w:t>
      </w:r>
      <w:r w:rsidR="00AC274F">
        <w:softHyphen/>
      </w:r>
      <w:r>
        <w:t>facht und ihre Aufgaben einheitlich und koordiniert wahrgenommen und gesteuert wer</w:t>
      </w:r>
      <w:r w:rsidR="00AC274F">
        <w:softHyphen/>
      </w:r>
      <w:r>
        <w:t>den (eine Gemeinde, eine Gemeindeversammlung, ein Gemeindevorstand, ein Ge</w:t>
      </w:r>
      <w:r w:rsidR="00AC274F">
        <w:softHyphen/>
      </w:r>
      <w:r>
        <w:t xml:space="preserve">meindehaushalt, ein </w:t>
      </w:r>
      <w:r w:rsidR="00F72773">
        <w:t xml:space="preserve">Budget, ein </w:t>
      </w:r>
      <w:r>
        <w:t>Steuerfuss etc.).</w:t>
      </w:r>
      <w:r w:rsidR="000A426D">
        <w:t xml:space="preserve"> Möglich</w:t>
      </w:r>
      <w:r w:rsidR="005E42F6">
        <w:t>e</w:t>
      </w:r>
      <w:r w:rsidR="000A426D">
        <w:t xml:space="preserve"> Synergien ergeben sich durch die Zusammenlegung der allgemeinen Gemeindeverwaltung und der Schulver</w:t>
      </w:r>
      <w:r w:rsidR="00AC274F">
        <w:softHyphen/>
      </w:r>
      <w:r w:rsidR="000A426D">
        <w:t>waltung</w:t>
      </w:r>
      <w:r w:rsidR="00F72773">
        <w:t>, insbesondere auch durch eine gemeinsame Verwaltung der Liegenschaften</w:t>
      </w:r>
      <w:r w:rsidR="000A426D">
        <w:t>. Die Aufgaben der Volksschule und die schulischen Befugnisse der Schulpflege sind kantonalrechtlich vorgeschrieben und bleiben dieselben, unabhängig davon, ob eine Schulgemeinde oder die politische Gemeinde diese Aufgaben wahrnimmt (vgl. insb. §</w:t>
      </w:r>
      <w:r w:rsidR="00244FCD">
        <w:t>§</w:t>
      </w:r>
      <w:r w:rsidR="0038024C">
        <w:t> </w:t>
      </w:r>
      <w:r w:rsidR="000A426D">
        <w:t>4</w:t>
      </w:r>
      <w:r w:rsidR="00244FCD">
        <w:t>1 ff.</w:t>
      </w:r>
      <w:r w:rsidR="000A426D">
        <w:t xml:space="preserve"> Volksschulgesetz, LS</w:t>
      </w:r>
      <w:r w:rsidR="000D669F">
        <w:t> </w:t>
      </w:r>
      <w:r w:rsidR="00244FCD">
        <w:t>412.100</w:t>
      </w:r>
      <w:r w:rsidR="000A426D">
        <w:t>).</w:t>
      </w:r>
    </w:p>
    <w:p w:rsidR="00AC274F" w:rsidRDefault="00472FB8" w:rsidP="000A426D">
      <w:pPr>
        <w:pStyle w:val="00Vorgabetext"/>
      </w:pPr>
      <w:r>
        <w:t>Bei Annahme der I</w:t>
      </w:r>
      <w:r w:rsidR="000A426D">
        <w:t xml:space="preserve">nitiative </w:t>
      </w:r>
      <w:r>
        <w:t xml:space="preserve">haben </w:t>
      </w:r>
      <w:r w:rsidR="000A426D">
        <w:t>der Gemeinde</w:t>
      </w:r>
      <w:r w:rsidR="005736CF">
        <w:t>rat</w:t>
      </w:r>
      <w:r w:rsidR="000A426D">
        <w:t xml:space="preserve"> </w:t>
      </w:r>
      <w:r>
        <w:t>zusammen mit der Schul</w:t>
      </w:r>
      <w:r w:rsidR="00AC274F">
        <w:softHyphen/>
      </w:r>
      <w:r>
        <w:t xml:space="preserve">pflege </w:t>
      </w:r>
      <w:r w:rsidR="00F83BE9">
        <w:t xml:space="preserve">eine </w:t>
      </w:r>
      <w:r w:rsidR="000D669F">
        <w:t xml:space="preserve">gemeinsame </w:t>
      </w:r>
      <w:r w:rsidR="00F83BE9">
        <w:t xml:space="preserve">Umsetzungsvorlage </w:t>
      </w:r>
      <w:r w:rsidR="000A426D">
        <w:t>aus</w:t>
      </w:r>
      <w:r>
        <w:t>zuarbeiten</w:t>
      </w:r>
      <w:r w:rsidR="000A426D">
        <w:t xml:space="preserve"> und </w:t>
      </w:r>
      <w:r>
        <w:t>diese</w:t>
      </w:r>
      <w:r w:rsidR="000A426D">
        <w:t xml:space="preserve"> innert 18 Mona</w:t>
      </w:r>
      <w:r w:rsidR="00AC274F">
        <w:softHyphen/>
      </w:r>
      <w:r w:rsidR="000A426D">
        <w:t xml:space="preserve">ten nach der Abstimmung </w:t>
      </w:r>
      <w:r w:rsidR="00D000CE">
        <w:t xml:space="preserve">über die Initiative </w:t>
      </w:r>
      <w:r w:rsidR="000A426D">
        <w:t>zur Abstimmung</w:t>
      </w:r>
      <w:r w:rsidR="00D000CE">
        <w:t xml:space="preserve"> zu bringen (§ 154 GPR</w:t>
      </w:r>
      <w:r w:rsidR="000D669F">
        <w:t xml:space="preserve"> </w:t>
      </w:r>
      <w:r w:rsidR="00F94421">
        <w:t xml:space="preserve">i.V.m. </w:t>
      </w:r>
      <w:r w:rsidR="000D669F">
        <w:t>§ 154 Abs. 2 GG</w:t>
      </w:r>
      <w:r w:rsidR="00D000CE">
        <w:t>)</w:t>
      </w:r>
      <w:r w:rsidR="000A426D">
        <w:t>.</w:t>
      </w:r>
      <w:r w:rsidR="00F83BE9">
        <w:t xml:space="preserve"> Die Umsetzungsvorlage hat die Revision der Ge</w:t>
      </w:r>
      <w:r w:rsidR="00AC274F">
        <w:softHyphen/>
      </w:r>
      <w:r w:rsidR="00F83BE9">
        <w:t>meindeordnung der politischen Gemeinde mit Bestimmungen über die Aufgaben und Befugnisse der Schul</w:t>
      </w:r>
      <w:r w:rsidR="009F3F89">
        <w:softHyphen/>
      </w:r>
      <w:r w:rsidR="00F83BE9">
        <w:t>pflege vorzusehen</w:t>
      </w:r>
      <w:r w:rsidR="00BD04D5">
        <w:t xml:space="preserve"> (§ 56 GG)</w:t>
      </w:r>
      <w:r w:rsidR="00F83BE9">
        <w:t>. Dabei soll die mit der Urnenwahl der Schul</w:t>
      </w:r>
      <w:r w:rsidR="00AC274F">
        <w:softHyphen/>
      </w:r>
      <w:r w:rsidR="00F83BE9">
        <w:t>pf</w:t>
      </w:r>
      <w:r w:rsidR="000D669F">
        <w:t>le</w:t>
      </w:r>
      <w:r w:rsidR="00F83BE9">
        <w:t xml:space="preserve">ge </w:t>
      </w:r>
      <w:r w:rsidR="000D669F">
        <w:t xml:space="preserve">gewählte </w:t>
      </w:r>
      <w:r w:rsidR="00F83BE9">
        <w:t xml:space="preserve">Schulpräsidentin oder der Schulpräsident von Amtes wegen </w:t>
      </w:r>
      <w:r w:rsidR="000D669F">
        <w:t>als Mit</w:t>
      </w:r>
      <w:r w:rsidR="00AC274F">
        <w:softHyphen/>
      </w:r>
      <w:r w:rsidR="000D669F">
        <w:t xml:space="preserve">glied </w:t>
      </w:r>
      <w:r w:rsidR="00F83BE9">
        <w:t>im Gemeinderat Einsitz nehmen</w:t>
      </w:r>
      <w:r w:rsidR="00BD04D5">
        <w:t xml:space="preserve"> (§ 55 Abs. 2 GG)</w:t>
      </w:r>
      <w:r w:rsidR="00F83BE9">
        <w:t>.</w:t>
      </w:r>
    </w:p>
    <w:p w:rsidR="00AC274F" w:rsidRDefault="00AC274F" w:rsidP="000A426D">
      <w:pPr>
        <w:pStyle w:val="00Vorgabetext"/>
      </w:pPr>
    </w:p>
    <w:p w:rsidR="000D669F" w:rsidRPr="00AC3E7F" w:rsidRDefault="0018482B" w:rsidP="000A426D">
      <w:pPr>
        <w:pStyle w:val="00Vorgabetext"/>
        <w:rPr>
          <w:highlight w:val="yellow"/>
        </w:rPr>
      </w:pPr>
      <w:r w:rsidRPr="00AC3E7F">
        <w:rPr>
          <w:highlight w:val="yellow"/>
        </w:rPr>
        <w:t>Vorname Name</w:t>
      </w:r>
      <w:r w:rsidR="00AC3E7F" w:rsidRPr="00AC3E7F">
        <w:rPr>
          <w:highlight w:val="yellow"/>
        </w:rPr>
        <w:t xml:space="preserve"> der/s Initiantin/en</w:t>
      </w:r>
    </w:p>
    <w:p w:rsidR="00B477E3" w:rsidRDefault="00AC3E7F" w:rsidP="000A426D">
      <w:pPr>
        <w:pStyle w:val="00Vorgabetext"/>
      </w:pPr>
      <w:r w:rsidRPr="00AC3E7F">
        <w:rPr>
          <w:highlight w:val="yellow"/>
        </w:rPr>
        <w:t>Adresse der/s Initiantin/en</w:t>
      </w:r>
    </w:p>
    <w:p w:rsidR="00AC3E7F" w:rsidRPr="008F120B" w:rsidRDefault="007C4715" w:rsidP="007C4715">
      <w:pPr>
        <w:pStyle w:val="00Vorgabetext"/>
        <w:tabs>
          <w:tab w:val="clear" w:pos="1191"/>
          <w:tab w:val="clear" w:pos="4479"/>
          <w:tab w:val="left" w:pos="3686"/>
        </w:tabs>
      </w:pPr>
      <w:r>
        <w:t xml:space="preserve">Datum: </w:t>
      </w:r>
      <w:r w:rsidRPr="007C4715">
        <w:rPr>
          <w:highlight w:val="yellow"/>
        </w:rPr>
        <w:t>...</w:t>
      </w:r>
      <w:r>
        <w:tab/>
      </w:r>
      <w:r w:rsidR="00AC3E7F">
        <w:t xml:space="preserve">Unterschrift: </w:t>
      </w:r>
      <w:r w:rsidR="00AC3E7F" w:rsidRPr="00AC3E7F">
        <w:rPr>
          <w:highlight w:val="yellow"/>
        </w:rPr>
        <w:t>...</w:t>
      </w:r>
    </w:p>
    <w:sectPr w:rsidR="00AC3E7F" w:rsidRPr="008F120B" w:rsidSect="00260937">
      <w:headerReference w:type="first" r:id="rId8"/>
      <w:footerReference w:type="first" r:id="rId9"/>
      <w:type w:val="oddPage"/>
      <w:pgSz w:w="11906" w:h="16838" w:code="9"/>
      <w:pgMar w:top="1418" w:right="1418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D9" w:rsidRDefault="003847D9" w:rsidP="00E52A57">
      <w:pPr>
        <w:spacing w:before="0"/>
      </w:pPr>
      <w:r>
        <w:separator/>
      </w:r>
    </w:p>
  </w:endnote>
  <w:endnote w:type="continuationSeparator" w:id="0">
    <w:p w:rsidR="003847D9" w:rsidRDefault="003847D9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D9" w:rsidRDefault="003847D9" w:rsidP="00E52A57">
      <w:pPr>
        <w:spacing w:before="0"/>
      </w:pPr>
      <w:r>
        <w:separator/>
      </w:r>
    </w:p>
  </w:footnote>
  <w:footnote w:type="continuationSeparator" w:id="0">
    <w:p w:rsidR="003847D9" w:rsidRDefault="003847D9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D9"/>
    <w:rsid w:val="000310E8"/>
    <w:rsid w:val="00031CB7"/>
    <w:rsid w:val="00050818"/>
    <w:rsid w:val="000A224D"/>
    <w:rsid w:val="000A33A1"/>
    <w:rsid w:val="000A426D"/>
    <w:rsid w:val="000D63DF"/>
    <w:rsid w:val="000D669F"/>
    <w:rsid w:val="000F4496"/>
    <w:rsid w:val="00120A65"/>
    <w:rsid w:val="00140805"/>
    <w:rsid w:val="00172C5D"/>
    <w:rsid w:val="0018482B"/>
    <w:rsid w:val="00193960"/>
    <w:rsid w:val="00194C55"/>
    <w:rsid w:val="001D6D1A"/>
    <w:rsid w:val="001E5E4E"/>
    <w:rsid w:val="00200254"/>
    <w:rsid w:val="00214E59"/>
    <w:rsid w:val="00240168"/>
    <w:rsid w:val="00244FCD"/>
    <w:rsid w:val="00260937"/>
    <w:rsid w:val="00312C65"/>
    <w:rsid w:val="00352228"/>
    <w:rsid w:val="00355297"/>
    <w:rsid w:val="00362582"/>
    <w:rsid w:val="0038024C"/>
    <w:rsid w:val="003847D9"/>
    <w:rsid w:val="003A49F9"/>
    <w:rsid w:val="003B4F01"/>
    <w:rsid w:val="003E1498"/>
    <w:rsid w:val="003E2C5D"/>
    <w:rsid w:val="00453C5B"/>
    <w:rsid w:val="00462C4F"/>
    <w:rsid w:val="00472FB8"/>
    <w:rsid w:val="004E32A1"/>
    <w:rsid w:val="004F28AE"/>
    <w:rsid w:val="00501D08"/>
    <w:rsid w:val="005736CF"/>
    <w:rsid w:val="0057634D"/>
    <w:rsid w:val="005E42F6"/>
    <w:rsid w:val="00670006"/>
    <w:rsid w:val="006A52A5"/>
    <w:rsid w:val="006B2780"/>
    <w:rsid w:val="006E26E9"/>
    <w:rsid w:val="007123B0"/>
    <w:rsid w:val="00771731"/>
    <w:rsid w:val="007C4715"/>
    <w:rsid w:val="007D4E3B"/>
    <w:rsid w:val="00825DE0"/>
    <w:rsid w:val="00862128"/>
    <w:rsid w:val="008701FD"/>
    <w:rsid w:val="00871E4F"/>
    <w:rsid w:val="008A1ACB"/>
    <w:rsid w:val="008E7903"/>
    <w:rsid w:val="008F120B"/>
    <w:rsid w:val="008F51BE"/>
    <w:rsid w:val="009004E8"/>
    <w:rsid w:val="0094487E"/>
    <w:rsid w:val="009B6F2B"/>
    <w:rsid w:val="009B78D1"/>
    <w:rsid w:val="009E02D0"/>
    <w:rsid w:val="009F3F89"/>
    <w:rsid w:val="00A001B4"/>
    <w:rsid w:val="00A10821"/>
    <w:rsid w:val="00A1277E"/>
    <w:rsid w:val="00A33533"/>
    <w:rsid w:val="00A70436"/>
    <w:rsid w:val="00A81575"/>
    <w:rsid w:val="00A86F32"/>
    <w:rsid w:val="00AC274F"/>
    <w:rsid w:val="00AC3E7F"/>
    <w:rsid w:val="00B16617"/>
    <w:rsid w:val="00B477E3"/>
    <w:rsid w:val="00BD04D5"/>
    <w:rsid w:val="00C129BE"/>
    <w:rsid w:val="00C13190"/>
    <w:rsid w:val="00C1433A"/>
    <w:rsid w:val="00C45030"/>
    <w:rsid w:val="00C707E2"/>
    <w:rsid w:val="00C74248"/>
    <w:rsid w:val="00C85175"/>
    <w:rsid w:val="00D000CE"/>
    <w:rsid w:val="00D379CF"/>
    <w:rsid w:val="00D554FE"/>
    <w:rsid w:val="00D60033"/>
    <w:rsid w:val="00D939E1"/>
    <w:rsid w:val="00DB26CF"/>
    <w:rsid w:val="00E24442"/>
    <w:rsid w:val="00E52A57"/>
    <w:rsid w:val="00EB6080"/>
    <w:rsid w:val="00EF4828"/>
    <w:rsid w:val="00F72773"/>
    <w:rsid w:val="00F750AD"/>
    <w:rsid w:val="00F8099F"/>
    <w:rsid w:val="00F83BE9"/>
    <w:rsid w:val="00F94421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97E545C7-BC04-4FAD-BD91-CC96D7CA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2075-E6B8-4C6D-B08E-CE2CD8A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Glättli, Urs</dc:creator>
  <cp:keywords/>
  <dc:description/>
  <cp:lastModifiedBy>Kaufmann, Patrizia</cp:lastModifiedBy>
  <cp:revision>2</cp:revision>
  <cp:lastPrinted>2017-12-22T10:18:00Z</cp:lastPrinted>
  <dcterms:created xsi:type="dcterms:W3CDTF">2019-10-18T14:33:00Z</dcterms:created>
  <dcterms:modified xsi:type="dcterms:W3CDTF">2019-10-18T14:33:00Z</dcterms:modified>
</cp:coreProperties>
</file>