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9"/>
    <w:bookmarkStart w:id="1" w:name="_GoBack"/>
    <w:bookmarkEnd w:id="1"/>
    <w:p>
      <w:pPr>
        <w:pStyle w:val="HaupttitelVSA"/>
        <w:ind w:left="0"/>
      </w:pPr>
      <w:sdt>
        <w:sdtPr>
          <w:id w:val="-1911221620"/>
          <w:placeholder>
            <w:docPart w:val="DefaultPlaceholder_1081868574"/>
          </w:placeholder>
        </w:sdtPr>
        <w:sdtContent>
          <w:r>
            <w:fldChar w:fldCharType="begin">
              <w:ffData>
                <w:name w:val="Text9"/>
                <w:enabled/>
                <w:calcOnExit w:val="0"/>
                <w:textInput>
                  <w:default w:val="Mustervertrag"/>
                </w:textInput>
              </w:ffData>
            </w:fldChar>
          </w:r>
          <w:r>
            <w:instrText xml:space="preserve"> FORMTEXT </w:instrText>
          </w:r>
          <w:r>
            <w:fldChar w:fldCharType="separate"/>
          </w:r>
          <w:r>
            <w:rPr>
              <w:noProof/>
            </w:rPr>
            <w:t>Mustervertrag</w:t>
          </w:r>
          <w:r>
            <w:fldChar w:fldCharType="end"/>
          </w:r>
          <w:bookmarkEnd w:id="0"/>
        </w:sdtContent>
      </w:sdt>
      <w:r>
        <w:t xml:space="preserve"> für Schulärztinnen und Schulärzte</w:t>
      </w:r>
      <w:r>
        <w:br/>
      </w:r>
      <w:r>
        <w:rPr>
          <w:spacing w:val="2"/>
          <w:sz w:val="22"/>
        </w:rPr>
        <w:t>(gültig ab Schuljahr 2023/24)</w:t>
      </w:r>
    </w:p>
    <w:p>
      <w:pPr>
        <w:pStyle w:val="GrundschriftVSA"/>
      </w:pPr>
    </w:p>
    <w:p>
      <w:pPr>
        <w:pStyle w:val="GrundschriftVSA"/>
      </w:pPr>
      <w:r>
        <w:t>zwischen</w:t>
      </w:r>
    </w:p>
    <w:p>
      <w:pPr>
        <w:pStyle w:val="GrundschriftVSA"/>
      </w:pPr>
    </w:p>
    <w:bookmarkStart w:id="2" w:name="Text2" w:displacedByCustomXml="next"/>
    <w:sdt>
      <w:sdtPr>
        <w:id w:val="-1555382188"/>
        <w:placeholder>
          <w:docPart w:val="DefaultPlaceholder_1081868574"/>
        </w:placeholder>
      </w:sdtPr>
      <w:sdtContent>
        <w:p>
          <w:pPr>
            <w:pStyle w:val="GrundschriftVSA"/>
          </w:pPr>
          <w:r>
            <w:fldChar w:fldCharType="begin">
              <w:ffData>
                <w:name w:val=""/>
                <w:enabled/>
                <w:calcOnExit w:val="0"/>
                <w:textInput>
                  <w:default w:val="der Primar-, Sekundar-, bzw. Schulgemeinde oder Trägerschaft (Auftraggeberin)"/>
                </w:textInput>
              </w:ffData>
            </w:fldChar>
          </w:r>
          <w:r>
            <w:instrText xml:space="preserve"> FORMTEXT </w:instrText>
          </w:r>
          <w:r>
            <w:fldChar w:fldCharType="separate"/>
          </w:r>
          <w:r>
            <w:rPr>
              <w:noProof/>
            </w:rPr>
            <w:t>der Primar-, Sekundar-, bzw. Schulgemeinde oder Trägerschaft (Auftraggeberin)</w:t>
          </w:r>
          <w:r>
            <w:fldChar w:fldCharType="end"/>
          </w:r>
        </w:p>
        <w:bookmarkEnd w:id="2" w:displacedByCustomXml="next"/>
      </w:sdtContent>
    </w:sdt>
    <w:p>
      <w:pPr>
        <w:pStyle w:val="GrundschriftVSA"/>
      </w:pPr>
      <w:r>
        <w:rPr>
          <w:sz w:val="16"/>
          <w:szCs w:val="16"/>
        </w:rPr>
        <w:t>(die Gemeinde, vertreten durch die Schulpflege oder die Trägerschaft)</w:t>
      </w:r>
    </w:p>
    <w:p>
      <w:pPr>
        <w:pStyle w:val="GrundschriftVSA"/>
      </w:pPr>
    </w:p>
    <w:p>
      <w:pPr>
        <w:pStyle w:val="GrundschriftVSA"/>
      </w:pPr>
      <w:r>
        <w:t>und</w:t>
      </w:r>
    </w:p>
    <w:p>
      <w:pPr>
        <w:pStyle w:val="GrundschriftVSA"/>
      </w:pPr>
    </w:p>
    <w:p>
      <w:pPr>
        <w:pStyle w:val="GrundschriftVSA"/>
      </w:pPr>
      <w:sdt>
        <w:sdtPr>
          <w:alias w:val="Anrede"/>
          <w:tag w:val="Anrede"/>
          <w:id w:val="-1515999870"/>
          <w:placeholder>
            <w:docPart w:val="DefaultPlaceholder_1081868575"/>
          </w:placeholder>
          <w:showingPlcHdr/>
          <w:dropDownList>
            <w:listItem w:value="Wählen Sie ein Element aus."/>
            <w:listItem w:displayText="Frau" w:value="Frau"/>
            <w:listItem w:displayText="Herr" w:value="Herr"/>
          </w:dropDownList>
        </w:sdtPr>
        <w:sdtContent>
          <w:r>
            <w:rPr>
              <w:rStyle w:val="Platzhaltertext"/>
            </w:rPr>
            <w:t>Wählen Sie ein Element aus.</w:t>
          </w:r>
        </w:sdtContent>
      </w:sdt>
      <w:r>
        <w:t xml:space="preserve"> Dr. med. </w:t>
      </w:r>
      <w:bookmarkStart w:id="3" w:name="Text3"/>
      <w:sdt>
        <w:sdtPr>
          <w:id w:val="-1215879330"/>
          <w:placeholder>
            <w:docPart w:val="DefaultPlaceholder_1081868574"/>
          </w:placeholder>
        </w:sdtPr>
        <w:sdtContent>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3"/>
        </w:sdtContent>
      </w:sdt>
      <w:r>
        <w:t xml:space="preserve"> (Beauftragte/r)</w:t>
      </w:r>
    </w:p>
    <w:bookmarkStart w:id="4" w:name="Text4" w:displacedByCustomXml="next"/>
    <w:sdt>
      <w:sdtPr>
        <w:id w:val="331183695"/>
        <w:placeholder>
          <w:docPart w:val="DefaultPlaceholder_1081868574"/>
        </w:placeholder>
      </w:sdtPr>
      <w:sdtContent>
        <w:p>
          <w:pPr>
            <w:pStyle w:val="GrundschriftVSA"/>
          </w:pPr>
          <w:r>
            <w:fldChar w:fldCharType="begin">
              <w:ffData>
                <w:name w:val="Text4"/>
                <w:enabled/>
                <w:calcOnExit w:val="0"/>
                <w:textInput>
                  <w:default w:val="Strasse / Nr:"/>
                </w:textInput>
              </w:ffData>
            </w:fldChar>
          </w:r>
          <w:r>
            <w:instrText xml:space="preserve"> FORMTEXT </w:instrText>
          </w:r>
          <w:r>
            <w:fldChar w:fldCharType="separate"/>
          </w:r>
          <w:r>
            <w:rPr>
              <w:noProof/>
            </w:rPr>
            <w:t>Strasse / Nr:</w:t>
          </w:r>
          <w:r>
            <w:fldChar w:fldCharType="end"/>
          </w:r>
        </w:p>
        <w:bookmarkEnd w:id="4" w:displacedByCustomXml="next"/>
      </w:sdtContent>
    </w:sdt>
    <w:bookmarkStart w:id="5" w:name="Text5" w:displacedByCustomXml="next"/>
    <w:sdt>
      <w:sdtPr>
        <w:id w:val="488136523"/>
        <w:placeholder>
          <w:docPart w:val="DefaultPlaceholder_1081868574"/>
        </w:placeholder>
      </w:sdtPr>
      <w:sdtContent>
        <w:p>
          <w:pPr>
            <w:pStyle w:val="GrundschriftVSA"/>
          </w:pPr>
          <w:r>
            <w:fldChar w:fldCharType="begin">
              <w:ffData>
                <w:name w:val="Text5"/>
                <w:enabled/>
                <w:calcOnExit w:val="0"/>
                <w:textInput>
                  <w:default w:val="Ort"/>
                </w:textInput>
              </w:ffData>
            </w:fldChar>
          </w:r>
          <w:r>
            <w:instrText xml:space="preserve"> FORMTEXT </w:instrText>
          </w:r>
          <w:r>
            <w:fldChar w:fldCharType="separate"/>
          </w:r>
          <w:r>
            <w:rPr>
              <w:noProof/>
            </w:rPr>
            <w:t>Ort</w:t>
          </w:r>
          <w:r>
            <w:fldChar w:fldCharType="end"/>
          </w:r>
        </w:p>
        <w:bookmarkEnd w:id="5" w:displacedByCustomXml="next"/>
      </w:sdtContent>
    </w:sdt>
    <w:p>
      <w:pPr>
        <w:pStyle w:val="TraktandumVSA"/>
        <w:numPr>
          <w:ilvl w:val="0"/>
          <w:numId w:val="0"/>
        </w:numPr>
        <w:tabs>
          <w:tab w:val="clear" w:pos="142"/>
          <w:tab w:val="left" w:pos="284"/>
        </w:tabs>
      </w:pPr>
      <w:r>
        <w:rPr>
          <w:rFonts w:cs="Arial"/>
          <w:bCs/>
        </w:rPr>
        <w:t>I</w:t>
      </w:r>
      <w:r>
        <w:t>.</w:t>
      </w:r>
      <w:r>
        <w:tab/>
        <w:t>Zuständigkeit</w:t>
      </w:r>
    </w:p>
    <w:p>
      <w:pPr>
        <w:pStyle w:val="UntertitelVSA"/>
      </w:pPr>
      <w:r>
        <w:t>Art. 1  Örtliche Zuständigkeit</w:t>
      </w:r>
    </w:p>
    <w:p>
      <w:pPr>
        <w:pStyle w:val="GrundschriftVSA"/>
      </w:pPr>
      <w:sdt>
        <w:sdtPr>
          <w:alias w:val="Anrede"/>
          <w:tag w:val="Anrede"/>
          <w:id w:val="1969930379"/>
          <w:placeholder>
            <w:docPart w:val="DefaultPlaceholder_1081868575"/>
          </w:placeholder>
          <w:showingPlcHdr/>
          <w:dropDownList>
            <w:listItem w:value="Wählen Sie ein Element aus."/>
            <w:listItem w:displayText="Frau" w:value="Frau"/>
            <w:listItem w:displayText="Herr" w:value="Herr"/>
          </w:dropDownList>
        </w:sdtPr>
        <w:sdtContent>
          <w:r>
            <w:rPr>
              <w:rStyle w:val="Platzhaltertext"/>
            </w:rPr>
            <w:t>Wählen Sie ein Element aus.</w:t>
          </w:r>
        </w:sdtContent>
      </w:sdt>
      <w:r>
        <w:t xml:space="preserve"> Dr. med. </w:t>
      </w:r>
      <w:bookmarkStart w:id="6" w:name="Text6"/>
      <w:sdt>
        <w:sdtPr>
          <w:id w:val="-1532721086"/>
          <w:placeholder>
            <w:docPart w:val="DefaultPlaceholder_1081868574"/>
          </w:placeholder>
        </w:sdtPr>
        <w:sdtContent>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6"/>
        </w:sdtContent>
      </w:sdt>
      <w:r>
        <w:t xml:space="preserve"> übernimmt ab </w:t>
      </w:r>
      <w:bookmarkStart w:id="7" w:name="Text7"/>
      <w:sdt>
        <w:sdtPr>
          <w:id w:val="-1647111519"/>
          <w:placeholder>
            <w:docPart w:val="DefaultPlaceholder_1081868574"/>
          </w:placeholder>
        </w:sdtPr>
        <w:sdtContent>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7"/>
        </w:sdtContent>
      </w:sdt>
    </w:p>
    <w:p>
      <w:pPr>
        <w:pStyle w:val="GrundschriftVSA"/>
      </w:pPr>
    </w:p>
    <w:p>
      <w:pPr>
        <w:pStyle w:val="GrundschriftVSA"/>
      </w:pPr>
      <w:r>
        <w:t xml:space="preserve">die Funktion </w:t>
      </w:r>
      <w:sdt>
        <w:sdtPr>
          <w:id w:val="-461271545"/>
          <w:placeholder>
            <w:docPart w:val="DefaultPlaceholder_1081868575"/>
          </w:placeholder>
          <w:showingPlcHdr/>
          <w:dropDownList>
            <w:listItem w:value="Wählen Sie ein Element aus."/>
            <w:listItem w:displayText="einer Schulärztin" w:value="einer Schulärztin"/>
            <w:listItem w:displayText="eines Schularztes" w:value="eines Schularztes"/>
          </w:dropDownList>
        </w:sdtPr>
        <w:sdtContent>
          <w:r>
            <w:rPr>
              <w:rStyle w:val="Platzhaltertext"/>
            </w:rPr>
            <w:t>Wählen Sie ein Element aus.</w:t>
          </w:r>
        </w:sdtContent>
      </w:sdt>
      <w:r>
        <w:t xml:space="preserve"> für die Schulen, Schulhäuser, Schulklassen, Kindergärten: </w:t>
      </w:r>
      <w:bookmarkStart w:id="8" w:name="Text8"/>
      <w:sdt>
        <w:sdtPr>
          <w:id w:val="86962875"/>
          <w:placeholder>
            <w:docPart w:val="DefaultPlaceholder_1081868574"/>
          </w:placeholder>
        </w:sdtPr>
        <w:sdtContent>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8"/>
        </w:sdtContent>
      </w:sdt>
      <w:r>
        <w:t xml:space="preserve"> in der Oberstufen- bzw. Sekundar-/ Primar-/ Schulgemeinde/Trägerschaft</w:t>
      </w:r>
    </w:p>
    <w:p>
      <w:pPr>
        <w:pStyle w:val="TraktandumVSA"/>
        <w:numPr>
          <w:ilvl w:val="0"/>
          <w:numId w:val="0"/>
        </w:numPr>
        <w:tabs>
          <w:tab w:val="clear" w:pos="142"/>
          <w:tab w:val="left" w:pos="284"/>
        </w:tabs>
        <w:rPr>
          <w:rFonts w:cs="Arial"/>
          <w:bCs/>
        </w:rPr>
      </w:pPr>
      <w:r>
        <w:rPr>
          <w:rFonts w:cs="Arial"/>
          <w:bCs/>
        </w:rPr>
        <w:t>II.</w:t>
      </w:r>
      <w:r>
        <w:rPr>
          <w:rFonts w:cs="Arial"/>
          <w:bCs/>
        </w:rPr>
        <w:tab/>
        <w:t>Pflichten</w:t>
      </w:r>
    </w:p>
    <w:p>
      <w:pPr>
        <w:pStyle w:val="TitelVSA"/>
      </w:pPr>
      <w:r>
        <w:t>A. Allgemein</w:t>
      </w:r>
    </w:p>
    <w:p>
      <w:pPr>
        <w:pStyle w:val="UntertitelVSA"/>
      </w:pPr>
      <w:r>
        <w:t>Art. 2  Umfang</w:t>
      </w:r>
    </w:p>
    <w:p>
      <w:pPr>
        <w:pStyle w:val="GrundschriftVSA"/>
      </w:pPr>
      <w:r>
        <w:rPr>
          <w:vertAlign w:val="superscript"/>
        </w:rPr>
        <w:t>1</w:t>
      </w:r>
      <w:r>
        <w:t xml:space="preserve"> Die Schulärztin / der Schularzt erfüllt die Aufgaben, die in der Kantonalen Volksschul- und Gesundheitsgesetzgebung (insbesondere §§ 50 und 54 des Gesundheitsgesetzes [</w:t>
      </w:r>
      <w:proofErr w:type="spellStart"/>
      <w:r>
        <w:t>GesG</w:t>
      </w:r>
      <w:proofErr w:type="spellEnd"/>
      <w:r>
        <w:t>] vom 2. April 2007) vorgesehen sind.</w:t>
      </w:r>
    </w:p>
    <w:p>
      <w:pPr>
        <w:pStyle w:val="UntertitelVSA"/>
      </w:pPr>
      <w:r>
        <w:t>Art. 3  Persönliche Leistungspflicht</w:t>
      </w:r>
    </w:p>
    <w:p>
      <w:pPr>
        <w:pStyle w:val="GrundschriftVSA"/>
      </w:pPr>
      <w:r>
        <w:rPr>
          <w:vertAlign w:val="superscript"/>
        </w:rPr>
        <w:t>1</w:t>
      </w:r>
      <w:r>
        <w:t xml:space="preserve"> Die Schulärztin oder der Schularzt hat die ihr/ihm durch diesen Vertrag und durch das geltende Recht auferlegten Pflichten persönlich zu erfüllen oder zu kontrollieren.</w:t>
      </w:r>
    </w:p>
    <w:p>
      <w:pPr>
        <w:pStyle w:val="GrundschriftVSA"/>
      </w:pPr>
      <w:r>
        <w:rPr>
          <w:vertAlign w:val="superscript"/>
        </w:rPr>
        <w:t>2</w:t>
      </w:r>
      <w:r>
        <w:t xml:space="preserve"> Mit Bewilligung der Schulpflege/Trägerschaft kann sie/er diese Aufgabe im Hinblick auf einzelne Kinder oder Schulklassen, bzw. für eine festgelegte Zeitdauer an eine Vertreterin oder einen Vertreter delegieren.</w:t>
      </w:r>
    </w:p>
    <w:p>
      <w:pPr>
        <w:pStyle w:val="UntertitelVSA"/>
      </w:pPr>
      <w:r>
        <w:t>Art. 4  Erreichbarkeit</w:t>
      </w:r>
    </w:p>
    <w:p>
      <w:pPr>
        <w:pStyle w:val="GrundschriftVSA"/>
      </w:pPr>
      <w:r>
        <w:rPr>
          <w:vertAlign w:val="superscript"/>
        </w:rPr>
        <w:t>1</w:t>
      </w:r>
      <w:r>
        <w:t xml:space="preserve"> Die Schulärztin oder der Schularzt richtet ihre/</w:t>
      </w:r>
      <w:proofErr w:type="gramStart"/>
      <w:r>
        <w:t>seine Präsenz</w:t>
      </w:r>
      <w:proofErr w:type="gramEnd"/>
      <w:r>
        <w:t xml:space="preserve"> nach Möglichkeit nach dem kommunalen Schulferienplan aus.</w:t>
      </w:r>
    </w:p>
    <w:p>
      <w:pPr>
        <w:pStyle w:val="GrundschriftVSA"/>
      </w:pPr>
      <w:r>
        <w:rPr>
          <w:vertAlign w:val="superscript"/>
        </w:rPr>
        <w:t>2</w:t>
      </w:r>
      <w:r>
        <w:t xml:space="preserve"> Abwesenheiten ausserhalb der Schulferienzeit gibt sie/er der Schulpflege/Trägerschaft rechtzeitig bekannt. Für Notfälle ist eine Stellvertretung sicherzustellen.</w:t>
      </w:r>
    </w:p>
    <w:p>
      <w:pPr>
        <w:pStyle w:val="UntertitelVSA"/>
      </w:pPr>
      <w:r>
        <w:lastRenderedPageBreak/>
        <w:t>Art. 5  Zusammenarbeit</w:t>
      </w:r>
    </w:p>
    <w:p>
      <w:pPr>
        <w:pStyle w:val="GrundschriftVSA"/>
      </w:pPr>
      <w:r>
        <w:rPr>
          <w:vertAlign w:val="superscript"/>
        </w:rPr>
        <w:t>1</w:t>
      </w:r>
      <w:r>
        <w:t xml:space="preserve"> Die Schulärztin / der Schularzt arbeitet, soweit erforderlich, insbesondere mit dem kantonalen Schulärztlichen Dienst, den Schulpsychologischen Diensten (SPD), der Schulsozialarbeit, den Kinder- und Jugendhilfezentren (</w:t>
      </w:r>
      <w:proofErr w:type="spellStart"/>
      <w:r>
        <w:t>kjz</w:t>
      </w:r>
      <w:proofErr w:type="spellEnd"/>
      <w:r>
        <w:t>), den Hausärztinnen und Hausärzten, den Kinderärztinnen und Kinderärzten, dem Kinder- und Jugendpsychiatrischen Dienst des Kantons Zürich (KJPDZ) und dem Kantonsarzt / der Kantonsärztin bzw. seinen/ihren Stellvertretenden (Bezirksärztinnen und Bezirksärzten) zusammen.</w:t>
      </w:r>
    </w:p>
    <w:p>
      <w:pPr>
        <w:pStyle w:val="GrundschriftVSA"/>
      </w:pPr>
      <w:r>
        <w:rPr>
          <w:vertAlign w:val="superscript"/>
        </w:rPr>
        <w:t>2</w:t>
      </w:r>
      <w:r>
        <w:t xml:space="preserve"> Sie oder er trägt zu einer hinreichenden Vernetzung zwischen allen Beteiligten bei.</w:t>
      </w:r>
    </w:p>
    <w:p>
      <w:pPr>
        <w:pStyle w:val="GrundschriftVSA"/>
      </w:pPr>
      <w:r>
        <w:rPr>
          <w:vertAlign w:val="superscript"/>
        </w:rPr>
        <w:t>3</w:t>
      </w:r>
      <w:r>
        <w:t xml:space="preserve"> Sie oder er führt regelmässige Gespräche zum Aufgabenbereich mit der Schulpflege/Trägerschaft bzw. mit dem für Gesundheit zuständigen Behördenmitglied.</w:t>
      </w:r>
    </w:p>
    <w:p>
      <w:pPr>
        <w:pStyle w:val="UntertitelVSA"/>
      </w:pPr>
      <w:r>
        <w:t>Art. 6  Meldungen, Datenschutz</w:t>
      </w:r>
    </w:p>
    <w:p>
      <w:pPr>
        <w:pStyle w:val="GrundschriftVSA"/>
      </w:pPr>
      <w:r>
        <w:rPr>
          <w:vertAlign w:val="superscript"/>
        </w:rPr>
        <w:t>1</w:t>
      </w:r>
      <w:r>
        <w:t xml:space="preserve"> Hinsichtlich des Berufsgeheimnisses, der Meldepflicht und des Datenschutzes gelten die einschlägigen Bestimmungen der kantonalen Datenschutzgesetzgebung. Die Schulärztin oder der Schularzt untersteht dem ärztlichen Berufsgeheimnis (Art. 321 StGB) und dem Amtsgeheimnis (Art. 320 StGB). Die Bewilligung der Direktion oder die Einwilligung der berechtigten Person befreit von der Schweigepflicht (§ 15 Abs. 2 </w:t>
      </w:r>
      <w:proofErr w:type="spellStart"/>
      <w:r>
        <w:t>GesG</w:t>
      </w:r>
      <w:proofErr w:type="spellEnd"/>
      <w:r>
        <w:t xml:space="preserve">. Gemäss § 15 Abs. 4 </w:t>
      </w:r>
      <w:proofErr w:type="spellStart"/>
      <w:r>
        <w:t>GesG</w:t>
      </w:r>
      <w:proofErr w:type="spellEnd"/>
      <w:r>
        <w:t xml:space="preserve"> sind Schulärztinnen und Schulärzte ohne Bewilligung oder Einwilligung nach Abs. 2 berechtigt, den zuständigen Behörden Wahrnehmungen zu melden, die auf ein Verbrechen oder Vergehen gegen Leib und Leben, die öffentliche Gesundheit oder die sexuelle Integrität schliessen lassen.</w:t>
      </w:r>
    </w:p>
    <w:p>
      <w:pPr>
        <w:pStyle w:val="UntertitelVSA"/>
      </w:pPr>
      <w:r>
        <w:t>Art. 7  Therapeutische Massnahmen</w:t>
      </w:r>
    </w:p>
    <w:p>
      <w:pPr>
        <w:pStyle w:val="GrundschriftVSA"/>
      </w:pPr>
      <w:r>
        <w:rPr>
          <w:vertAlign w:val="superscript"/>
        </w:rPr>
        <w:t>1</w:t>
      </w:r>
      <w:r>
        <w:t xml:space="preserve"> Therapeutische Massnahmen sind nicht Teil der schulärztlichen Betreuung. Im Bedarfsfall sollen die Eltern bzw. Erziehungsberechtigten an ihre Hausärztin / Kinderärztin oder ihren Hausarzt / Kinderarzt verwiesen werden.</w:t>
      </w:r>
    </w:p>
    <w:p>
      <w:pPr>
        <w:pStyle w:val="UntertitelVSA"/>
        <w:rPr>
          <w:rFonts w:cs="Arial"/>
        </w:rPr>
      </w:pPr>
      <w:r>
        <w:t>Art. 8  Weiterbildung</w:t>
      </w:r>
    </w:p>
    <w:p>
      <w:pPr>
        <w:pStyle w:val="GrundschriftVSA"/>
      </w:pPr>
      <w:r>
        <w:rPr>
          <w:vertAlign w:val="superscript"/>
        </w:rPr>
        <w:t>1</w:t>
      </w:r>
      <w:r>
        <w:t xml:space="preserve"> Die Schulärztin oder der Schularzt soll nach Möglichkeit an den vom Schulärztlichen Dienst des Kantons organisierten oder empfohlenen Weiterbildungsveranstaltungen teilnehmen.</w:t>
      </w:r>
    </w:p>
    <w:p>
      <w:pPr>
        <w:pStyle w:val="UntertitelVSA"/>
      </w:pPr>
      <w:r>
        <w:t>Art. 9  Arbeitsbereiche (Kerngeschäfte schulärztlicher Tätigkeit)</w:t>
      </w:r>
    </w:p>
    <w:p>
      <w:pPr>
        <w:pStyle w:val="GrundschriftVSA"/>
      </w:pPr>
      <w:r>
        <w:rPr>
          <w:vertAlign w:val="superscript"/>
        </w:rPr>
        <w:t>1</w:t>
      </w:r>
      <w:r>
        <w:t xml:space="preserve"> Die Tätigkeit der Schulärztin oder des Schularztes gliedert sich in nachfolgende Kernbereiche: Gesundheitsvorsorge / Grundversorgung, Abklärung und Beratung, Gesundheitsförderung und Prävention.</w:t>
      </w:r>
    </w:p>
    <w:p>
      <w:pPr>
        <w:pStyle w:val="TitelVSA"/>
      </w:pPr>
      <w:r>
        <w:t>B. Grundversorgung</w:t>
      </w:r>
    </w:p>
    <w:p>
      <w:pPr>
        <w:pStyle w:val="UntertitelVSA"/>
      </w:pPr>
      <w:r>
        <w:t>Art. 10  Aufgabengebiete</w:t>
      </w:r>
    </w:p>
    <w:p>
      <w:pPr>
        <w:pStyle w:val="GrundschriftVSA"/>
        <w:rPr>
          <w:rFonts w:cs="Arial"/>
        </w:rPr>
      </w:pPr>
      <w:r>
        <w:rPr>
          <w:vertAlign w:val="superscript"/>
        </w:rPr>
        <w:t>1</w:t>
      </w:r>
      <w:r>
        <w:t xml:space="preserve"> Bestandteile der Grundversorgung bilden:</w:t>
      </w:r>
    </w:p>
    <w:p>
      <w:pPr>
        <w:pStyle w:val="GrundschriftVSA"/>
        <w:numPr>
          <w:ilvl w:val="0"/>
          <w:numId w:val="32"/>
        </w:numPr>
        <w:tabs>
          <w:tab w:val="clear" w:pos="720"/>
          <w:tab w:val="num" w:pos="426"/>
        </w:tabs>
        <w:ind w:left="426" w:hanging="426"/>
      </w:pPr>
      <w:r>
        <w:rPr>
          <w:b/>
        </w:rPr>
        <w:t>Schulärztliche Untersuchungen</w:t>
      </w:r>
      <w:r>
        <w:t xml:space="preserve"> der Kinder und Jugendlichen der Volksschule in der Kindergarten-, Primar- und Sekundarstufe gemäss §§ 17 ff. der Volksschulverordnung (VSV) vom 28. Juni 2006 und den Richtlinien des kantonalen Schulärztlichen Dienstes. Die erhobenen Befunde sind den Eltern bzw. Erziehungsberechtigten umgehend mitzuteilen und zu dokumentieren (§ 17b Abs. 1-4 VSV). </w:t>
      </w:r>
      <w:r>
        <w:br/>
      </w:r>
      <w:r>
        <w:lastRenderedPageBreak/>
        <w:t>Ein vorgängiges oder nachträgliches Gespräch mit der Klassenlehrperson ist wünschenswert.</w:t>
      </w:r>
    </w:p>
    <w:p>
      <w:pPr>
        <w:pStyle w:val="GrundschriftVSA"/>
        <w:numPr>
          <w:ilvl w:val="0"/>
          <w:numId w:val="32"/>
        </w:numPr>
        <w:tabs>
          <w:tab w:val="clear" w:pos="720"/>
          <w:tab w:val="num" w:pos="426"/>
        </w:tabs>
        <w:ind w:left="426" w:hanging="426"/>
      </w:pPr>
      <w:r>
        <w:rPr>
          <w:b/>
        </w:rPr>
        <w:t>Impfen:</w:t>
      </w:r>
      <w:r>
        <w:t xml:space="preserve"> Kontrolle des </w:t>
      </w:r>
      <w:proofErr w:type="spellStart"/>
      <w:r>
        <w:t>lmpfzustandes</w:t>
      </w:r>
      <w:proofErr w:type="spellEnd"/>
      <w:r>
        <w:t xml:space="preserve"> (§ 17a Abs. 1 lit. c VSV), Beratung der Schülerinnen und Schüler und ihrer Eltern in Impffragen mit entsprechenden Empfehlungen an die Eltern bzw. Erziehungsberechtigten (§ 18 Abs. 1 VSV) und Impfen gemäss </w:t>
      </w:r>
      <w:proofErr w:type="spellStart"/>
      <w:r>
        <w:t>lmpfrichtlinien</w:t>
      </w:r>
      <w:proofErr w:type="spellEnd"/>
      <w:r>
        <w:t xml:space="preserve"> des Bundesamtes für Gesundheit (§ 18 Abs. 2 und 3 VSV) sind die vom </w:t>
      </w:r>
      <w:proofErr w:type="spellStart"/>
      <w:r>
        <w:t>Epidemiengesetz</w:t>
      </w:r>
      <w:proofErr w:type="spellEnd"/>
      <w:r>
        <w:t xml:space="preserve"> des Bundes und Gesundheitsgesetz des Kantons Zürich (§ 50 Abs. 3 </w:t>
      </w:r>
      <w:proofErr w:type="spellStart"/>
      <w:r>
        <w:t>GesG</w:t>
      </w:r>
      <w:proofErr w:type="spellEnd"/>
      <w:r>
        <w:t xml:space="preserve">) geforderten präventiven schulärztlichen Aufgaben. Für die Schülerinnen und Schüler sind die Basisimpfungen gemäss nationalem Impfplan, die FSME-Impfung und Impfungen gemäss § 6 Vollzugsverordnung zur Eidgenössischen </w:t>
      </w:r>
      <w:proofErr w:type="spellStart"/>
      <w:r>
        <w:t>Epidemiegesetzgebung</w:t>
      </w:r>
      <w:proofErr w:type="spellEnd"/>
      <w:r>
        <w:t xml:space="preserve"> kostenlos (§ 18 Abs. 3 VSV). Die Kosten für die Impfungen gemäss Abs. 3 werden über den Kanton mit den Krankenkassen abgerechnet (§ 18 Abs. 4 VSV).</w:t>
      </w:r>
    </w:p>
    <w:p>
      <w:pPr>
        <w:pStyle w:val="GrundschriftVSA"/>
        <w:numPr>
          <w:ilvl w:val="0"/>
          <w:numId w:val="32"/>
        </w:numPr>
        <w:tabs>
          <w:tab w:val="clear" w:pos="720"/>
          <w:tab w:val="num" w:pos="426"/>
        </w:tabs>
        <w:ind w:left="426" w:hanging="426"/>
      </w:pPr>
      <w:r>
        <w:rPr>
          <w:b/>
        </w:rPr>
        <w:t>Verhütung und Bekämpfung übertragbarer Krankheiten an Schulen</w:t>
      </w:r>
      <w:r>
        <w:t xml:space="preserve"> zusammen mit der Gemeinde/Trägerschaft und Ergreifen der erforderlichen Massnahmen bei Krankheitsfällen oder Epidemien an Schulen (§ 16 Abs. 3 VSV), gegebenenfalls in Absprache mit dem Bezirks- oder Kantonsarzt (§§ 19 und 22 der Vollzugsverordnung zur Eidgenössischen </w:t>
      </w:r>
      <w:proofErr w:type="spellStart"/>
      <w:r>
        <w:t>Epidemiengesetzgebung</w:t>
      </w:r>
      <w:proofErr w:type="spellEnd"/>
      <w:r>
        <w:t xml:space="preserve"> [VV </w:t>
      </w:r>
      <w:proofErr w:type="spellStart"/>
      <w:r>
        <w:t>EpiG</w:t>
      </w:r>
      <w:proofErr w:type="spellEnd"/>
      <w:r>
        <w:t>] vom 19. März 1975).</w:t>
      </w:r>
    </w:p>
    <w:p>
      <w:pPr>
        <w:pStyle w:val="GrundschriftVSA"/>
        <w:numPr>
          <w:ilvl w:val="0"/>
          <w:numId w:val="32"/>
        </w:numPr>
        <w:tabs>
          <w:tab w:val="clear" w:pos="720"/>
          <w:tab w:val="num" w:pos="426"/>
        </w:tabs>
        <w:ind w:left="426" w:hanging="426"/>
      </w:pPr>
      <w:r>
        <w:rPr>
          <w:b/>
        </w:rPr>
        <w:t xml:space="preserve">Medizinische Notfälle / Kindesschutz: </w:t>
      </w:r>
      <w:r>
        <w:t xml:space="preserve">Treffen von Anweisungen zum Vorgehen bei akuten medizinischen Notfällen in Absprache mit der Schulleitung oder der Schulpflege/Trägerschaft. Zudem untersucht die Schulärztin oder der Schularzt Schülerinnen und Schüler auf Gesuch der Schule bei konkretem Verdacht auf Kindsmisshandlung. Die Zustimmung der Eltern ist nicht nötig (§ 16 Abs. 4 VSV). Dabei steht die zuverlässige Dokumentation in medizinischer Hinsicht und zuhanden der Kindes- und Erwachsenenschutzbehörde (KESB) oder einer polizeilichen Behörde im Zentrum (vgl. § 15 Abs. 4 </w:t>
      </w:r>
      <w:proofErr w:type="spellStart"/>
      <w:r>
        <w:t>GesG</w:t>
      </w:r>
      <w:proofErr w:type="spellEnd"/>
      <w:r>
        <w:t>).</w:t>
      </w:r>
    </w:p>
    <w:p>
      <w:pPr>
        <w:pStyle w:val="GrundschriftVSA"/>
        <w:numPr>
          <w:ilvl w:val="0"/>
          <w:numId w:val="32"/>
        </w:numPr>
        <w:tabs>
          <w:tab w:val="clear" w:pos="720"/>
          <w:tab w:val="num" w:pos="426"/>
        </w:tabs>
        <w:ind w:left="426" w:hanging="426"/>
      </w:pPr>
      <w:r>
        <w:rPr>
          <w:b/>
        </w:rPr>
        <w:t>Abklärungen</w:t>
      </w:r>
      <w:r>
        <w:t xml:space="preserve"> z.B. bei sonderpädagogischen Massnahmen (§ 38 Abs. 3 Volksschulgesetz [VSG] vom 7. Februar 2005; § 25 Abs. 3 und 6 Verordnung über die sonderpädagogischen Massnahmen [VSM] vom 11. Juli 2007), häufigen Schulabsenzen, Dispensationen, etc.</w:t>
      </w:r>
    </w:p>
    <w:p>
      <w:pPr>
        <w:pStyle w:val="GrundschriftVSA"/>
        <w:numPr>
          <w:ilvl w:val="0"/>
          <w:numId w:val="32"/>
        </w:numPr>
        <w:tabs>
          <w:tab w:val="clear" w:pos="720"/>
          <w:tab w:val="num" w:pos="426"/>
        </w:tabs>
        <w:ind w:left="426" w:hanging="426"/>
      </w:pPr>
      <w:r>
        <w:rPr>
          <w:b/>
        </w:rPr>
        <w:t>Standortgespräche:</w:t>
      </w:r>
      <w:r>
        <w:t xml:space="preserve"> Bei Notwendigkeit Teilnahme an schulischen Standortgesprächen bei Kindern und Jugendlichen mit besonderen medizinischen Bedürfnissen (insbesondere chronische Erkrankungen und Behinderungen) und Vernetzung mit der zuständigen, betreuenden, ärztlichen Fachperson.</w:t>
      </w:r>
    </w:p>
    <w:p>
      <w:pPr>
        <w:pStyle w:val="TitelVSA"/>
        <w:rPr>
          <w:rFonts w:cs="Arial"/>
          <w:b/>
        </w:rPr>
      </w:pPr>
      <w:r>
        <w:t>C. Gesundheitsförderung und Prävention</w:t>
      </w:r>
    </w:p>
    <w:p>
      <w:pPr>
        <w:pStyle w:val="UntertitelVSA"/>
      </w:pPr>
      <w:r>
        <w:t>Art. 11  Aufgabenbereiche</w:t>
      </w:r>
    </w:p>
    <w:p>
      <w:pPr>
        <w:pStyle w:val="GrundschriftVSA"/>
      </w:pPr>
      <w:r>
        <w:rPr>
          <w:vertAlign w:val="superscript"/>
        </w:rPr>
        <w:t>1</w:t>
      </w:r>
      <w:r>
        <w:t xml:space="preserve"> Die Schulärztin oder der Schularzt unterstützt und berät die Schulen und die Gemeinde/Trägerschaft in Fragen der Gesundheitsberatung, Gesundheitserziehung, Gesundheitsförderung und Prävention gemäss § 16 Abs. 2 VSV. Die Unterstützung und Beratung beinhaltet die:</w:t>
      </w:r>
    </w:p>
    <w:p>
      <w:pPr>
        <w:pStyle w:val="GrundschriftVSA"/>
        <w:numPr>
          <w:ilvl w:val="0"/>
          <w:numId w:val="36"/>
        </w:numPr>
        <w:tabs>
          <w:tab w:val="clear" w:pos="720"/>
          <w:tab w:val="num" w:pos="426"/>
        </w:tabs>
        <w:ind w:hanging="720"/>
      </w:pPr>
      <w:r>
        <w:t>Zusammenarbeit mit den entsprechenden Fachstellen,</w:t>
      </w:r>
    </w:p>
    <w:p>
      <w:pPr>
        <w:pStyle w:val="GrundschriftVSA"/>
        <w:numPr>
          <w:ilvl w:val="0"/>
          <w:numId w:val="36"/>
        </w:numPr>
        <w:tabs>
          <w:tab w:val="clear" w:pos="720"/>
          <w:tab w:val="num" w:pos="426"/>
        </w:tabs>
        <w:ind w:hanging="720"/>
      </w:pPr>
      <w:r>
        <w:t>Beratung und Unterstützung der Schulen,</w:t>
      </w:r>
    </w:p>
    <w:p>
      <w:pPr>
        <w:pStyle w:val="GrundschriftVSA"/>
        <w:numPr>
          <w:ilvl w:val="0"/>
          <w:numId w:val="36"/>
        </w:numPr>
        <w:tabs>
          <w:tab w:val="clear" w:pos="720"/>
          <w:tab w:val="num" w:pos="426"/>
        </w:tabs>
        <w:ind w:hanging="720"/>
      </w:pPr>
      <w:r>
        <w:t>Mitarbeit bei Projekten und anderen schulischen Veranstaltungen,</w:t>
      </w:r>
    </w:p>
    <w:p>
      <w:pPr>
        <w:pStyle w:val="GrundschriftVSA"/>
        <w:numPr>
          <w:ilvl w:val="0"/>
          <w:numId w:val="36"/>
        </w:numPr>
        <w:tabs>
          <w:tab w:val="clear" w:pos="720"/>
          <w:tab w:val="num" w:pos="426"/>
        </w:tabs>
        <w:ind w:hanging="720"/>
      </w:pPr>
      <w:r>
        <w:t>Zusammenarbeit mit Lehrpersonen.</w:t>
      </w:r>
    </w:p>
    <w:p>
      <w:pPr>
        <w:pStyle w:val="TraktandumVSA"/>
        <w:numPr>
          <w:ilvl w:val="0"/>
          <w:numId w:val="0"/>
        </w:numPr>
        <w:tabs>
          <w:tab w:val="clear" w:pos="142"/>
          <w:tab w:val="left" w:pos="284"/>
        </w:tabs>
        <w:rPr>
          <w:rFonts w:cs="Arial"/>
          <w:bCs/>
        </w:rPr>
      </w:pPr>
    </w:p>
    <w:p>
      <w:pPr>
        <w:pStyle w:val="TraktandumVSA"/>
        <w:numPr>
          <w:ilvl w:val="0"/>
          <w:numId w:val="0"/>
        </w:numPr>
        <w:tabs>
          <w:tab w:val="clear" w:pos="142"/>
          <w:tab w:val="left" w:pos="284"/>
        </w:tabs>
        <w:rPr>
          <w:rFonts w:cs="Arial"/>
          <w:bCs/>
        </w:rPr>
      </w:pPr>
      <w:r>
        <w:rPr>
          <w:rFonts w:cs="Arial"/>
          <w:bCs/>
        </w:rPr>
        <w:t>III.</w:t>
      </w:r>
      <w:r>
        <w:rPr>
          <w:rFonts w:cs="Arial"/>
          <w:bCs/>
        </w:rPr>
        <w:tab/>
        <w:t>Besoldung</w:t>
      </w:r>
    </w:p>
    <w:p>
      <w:pPr>
        <w:pStyle w:val="UntertitelVSA"/>
      </w:pPr>
      <w:r>
        <w:t>Art. 12  Stundenansatz</w:t>
      </w:r>
    </w:p>
    <w:p>
      <w:pPr>
        <w:pStyle w:val="GrundschriftVSA"/>
      </w:pPr>
      <w:r>
        <w:rPr>
          <w:vertAlign w:val="superscript"/>
        </w:rPr>
        <w:t>1</w:t>
      </w:r>
      <w:r>
        <w:t xml:space="preserve"> Die Entschädigung für den Schulärztlichen Dienst wird nach Zeitaufwand verrechnet. Der Ansatz pro Arbeitsstunde beträgt Fr. 250.00.</w:t>
      </w:r>
    </w:p>
    <w:p>
      <w:pPr>
        <w:pStyle w:val="GrundschriftVSA"/>
      </w:pPr>
      <w:r>
        <w:rPr>
          <w:vertAlign w:val="superscript"/>
        </w:rPr>
        <w:t>2</w:t>
      </w:r>
      <w:r>
        <w:t xml:space="preserve"> Die Schulärztin / der Schularzt stellt der Schulgemeinde/Trägerschaft Rechnung nach Zeitaufwand.</w:t>
      </w:r>
    </w:p>
    <w:p>
      <w:pPr>
        <w:pStyle w:val="UntertitelVSA"/>
      </w:pPr>
      <w:r>
        <w:t>Art. 13  Abzüge und Versicherungen</w:t>
      </w:r>
    </w:p>
    <w:p>
      <w:pPr>
        <w:pStyle w:val="GrundschriftVSA"/>
      </w:pPr>
      <w:r>
        <w:rPr>
          <w:vertAlign w:val="superscript"/>
        </w:rPr>
        <w:t>1</w:t>
      </w:r>
      <w:r>
        <w:t xml:space="preserve"> Die Abrechnung erfolgt analog den Patientenrechnungen: Abzüge für AHV / IV gehen zu Lasten der Ärztin / des Arztes.</w:t>
      </w:r>
    </w:p>
    <w:p>
      <w:pPr>
        <w:pStyle w:val="UntertitelVSA"/>
      </w:pPr>
      <w:r>
        <w:t>Art. 14  Vorsorgeeinrichtung</w:t>
      </w:r>
    </w:p>
    <w:p>
      <w:pPr>
        <w:pStyle w:val="GrundschriftVSA"/>
      </w:pPr>
      <w:r>
        <w:rPr>
          <w:vertAlign w:val="superscript"/>
        </w:rPr>
        <w:t>1</w:t>
      </w:r>
      <w:r>
        <w:t xml:space="preserve"> Es erfolgt keine Aufnahme der Schulärztin / des Schularztes in die Vorsorgeeinrichtung der Gemeinde/Trägerschaft.</w:t>
      </w:r>
    </w:p>
    <w:p>
      <w:pPr>
        <w:pStyle w:val="TraktandumVSA"/>
        <w:numPr>
          <w:ilvl w:val="0"/>
          <w:numId w:val="0"/>
        </w:numPr>
        <w:tabs>
          <w:tab w:val="clear" w:pos="142"/>
          <w:tab w:val="left" w:pos="284"/>
        </w:tabs>
        <w:rPr>
          <w:i/>
        </w:rPr>
      </w:pPr>
      <w:r>
        <w:rPr>
          <w:rFonts w:cs="Arial"/>
          <w:bCs/>
        </w:rPr>
        <w:t>IV.</w:t>
      </w:r>
      <w:r>
        <w:rPr>
          <w:rFonts w:cs="Arial"/>
          <w:bCs/>
        </w:rPr>
        <w:tab/>
        <w:t>Weitere Bestimmungen</w:t>
      </w:r>
    </w:p>
    <w:p>
      <w:pPr>
        <w:pStyle w:val="UntertitelVSA"/>
      </w:pPr>
      <w:r>
        <w:t>Art. 15  Kündigung / anwendbares Recht</w:t>
      </w:r>
    </w:p>
    <w:p>
      <w:pPr>
        <w:pStyle w:val="GrundschriftVSA"/>
      </w:pPr>
      <w:r>
        <w:rPr>
          <w:vertAlign w:val="superscript"/>
        </w:rPr>
        <w:t>1</w:t>
      </w:r>
      <w:r>
        <w:t xml:space="preserve"> Dieser Vertrag kann von beiden Seiten unter Einhaltung einer sechsmonatigen Kündigungsfrist auf das Ende des Schuljahres aufgelöst werden. </w:t>
      </w:r>
    </w:p>
    <w:p>
      <w:pPr>
        <w:pStyle w:val="GrundschriftVSA"/>
      </w:pPr>
      <w:r>
        <w:rPr>
          <w:vertAlign w:val="superscript"/>
        </w:rPr>
        <w:t>2</w:t>
      </w:r>
      <w:r>
        <w:t xml:space="preserve"> Im Übrigen gelten die Bestimmungen über den einfachen Auftrag gemäss Art. 394 ff. OR.</w:t>
      </w:r>
    </w:p>
    <w:p>
      <w:pPr>
        <w:pStyle w:val="UntertitelVSA"/>
      </w:pPr>
      <w:r>
        <w:t>Art. 16  Vertragsänderungen</w:t>
      </w:r>
    </w:p>
    <w:p>
      <w:pPr>
        <w:pStyle w:val="GrundschriftVSA"/>
      </w:pPr>
      <w:r>
        <w:rPr>
          <w:vertAlign w:val="superscript"/>
        </w:rPr>
        <w:t>1</w:t>
      </w:r>
      <w:r>
        <w:t xml:space="preserve"> Im gegenseitigen Einvernehmen können die Parteien jederzeit Änderungen oder Ergänzungen an der Vereinbarung vornehmen. Diese bedürfen der Schriftlichkeit.</w:t>
      </w:r>
    </w:p>
    <w:p>
      <w:pPr>
        <w:pStyle w:val="UntertitelVSA"/>
      </w:pPr>
      <w:r>
        <w:t>Art. 17  Bisheriger Vertrag</w:t>
      </w:r>
    </w:p>
    <w:p>
      <w:pPr>
        <w:pStyle w:val="GrundschriftVSA"/>
      </w:pPr>
      <w:r>
        <w:rPr>
          <w:vertAlign w:val="superscript"/>
        </w:rPr>
        <w:t>1</w:t>
      </w:r>
      <w:r>
        <w:t xml:space="preserve"> Durch Abschluss dieses Vertrags wird der Schularztvertrag vom </w:t>
      </w:r>
      <w:bookmarkStart w:id="9" w:name="Text10"/>
      <w:sdt>
        <w:sdtPr>
          <w:id w:val="1823457570"/>
          <w:placeholder>
            <w:docPart w:val="DefaultPlaceholder_1081868574"/>
          </w:placeholder>
        </w:sdtPr>
        <w:sdtContent>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sdtContent>
      </w:sdt>
      <w:r>
        <w:t xml:space="preserve"> gegenstandslos. </w:t>
      </w:r>
    </w:p>
    <w:p>
      <w:pPr>
        <w:pStyle w:val="GrundschriftVSA"/>
      </w:pPr>
      <w:r>
        <w:t>[Art. 17 wird nur dann angewendet, wenn der neue Vertrag zwischen den bisherigen Vertragspartnern erfolgt.]</w:t>
      </w:r>
    </w:p>
    <w:p>
      <w:pPr>
        <w:pStyle w:val="GrundschriftVSA"/>
        <w:tabs>
          <w:tab w:val="left" w:pos="4253"/>
        </w:tabs>
      </w:pPr>
    </w:p>
    <w:p>
      <w:pPr>
        <w:pStyle w:val="GrundschriftVSA"/>
      </w:pPr>
    </w:p>
    <w:bookmarkStart w:id="10" w:name="Text11" w:displacedByCustomXml="next"/>
    <w:sdt>
      <w:sdtPr>
        <w:id w:val="-1469810820"/>
        <w:placeholder>
          <w:docPart w:val="DefaultPlaceholder_1081868574"/>
        </w:placeholder>
      </w:sdtPr>
      <w:sdtContent>
        <w:p>
          <w:pPr>
            <w:pStyle w:val="GrundschriftVSA"/>
          </w:pPr>
          <w:r>
            <w:fldChar w:fldCharType="begin">
              <w:ffData>
                <w:name w:val="Text11"/>
                <w:enabled/>
                <w:calcOnExit w:val="0"/>
                <w:textInput>
                  <w:default w:val="Ort, Datum"/>
                </w:textInput>
              </w:ffData>
            </w:fldChar>
          </w:r>
          <w:r>
            <w:instrText xml:space="preserve"> FORMTEXT </w:instrText>
          </w:r>
          <w:r>
            <w:fldChar w:fldCharType="separate"/>
          </w:r>
          <w:r>
            <w:rPr>
              <w:noProof/>
            </w:rPr>
            <w:t>Ort, Datum</w:t>
          </w:r>
          <w:r>
            <w:fldChar w:fldCharType="end"/>
          </w:r>
        </w:p>
        <w:bookmarkEnd w:id="10" w:displacedByCustomXml="next"/>
      </w:sdtContent>
    </w:sdt>
    <w:p>
      <w:pPr>
        <w:pStyle w:val="GrundschriftVSA"/>
      </w:pPr>
    </w:p>
    <w:p>
      <w:pPr>
        <w:pStyle w:val="GrundschriftVSA"/>
      </w:pPr>
    </w:p>
    <w:p>
      <w:pPr>
        <w:pStyle w:val="GrundschriftVSA"/>
      </w:pPr>
    </w:p>
    <w:p>
      <w:pPr>
        <w:pStyle w:val="GrundschriftVSA"/>
        <w:tabs>
          <w:tab w:val="left" w:leader="underscore" w:pos="3261"/>
          <w:tab w:val="left" w:pos="4253"/>
          <w:tab w:val="left" w:leader="underscore" w:pos="9637"/>
        </w:tabs>
      </w:pPr>
      <w:r>
        <w:tab/>
      </w:r>
      <w:r>
        <w:tab/>
      </w:r>
      <w:r>
        <w:tab/>
      </w:r>
    </w:p>
    <w:p>
      <w:pPr>
        <w:pStyle w:val="GrundschriftVSA"/>
        <w:tabs>
          <w:tab w:val="left" w:pos="4253"/>
        </w:tabs>
        <w:ind w:left="4254" w:hanging="4254"/>
      </w:pPr>
      <w:sdt>
        <w:sdtPr>
          <w:id w:val="876658323"/>
          <w:placeholder>
            <w:docPart w:val="DefaultPlaceholder_1081868575"/>
          </w:placeholder>
          <w:showingPlcHdr/>
          <w:dropDownList>
            <w:listItem w:value="Wählen Sie ein Element aus."/>
            <w:listItem w:displayText="die Schulärztin" w:value="die Schulärztin"/>
            <w:listItem w:displayText="der Schularzt" w:value="der Schularzt"/>
          </w:dropDownList>
        </w:sdtPr>
        <w:sdtContent>
          <w:r>
            <w:rPr>
              <w:rStyle w:val="Platzhaltertext"/>
            </w:rPr>
            <w:t>Wählen Sie ein Element aus.</w:t>
          </w:r>
        </w:sdtContent>
      </w:sdt>
      <w:r>
        <w:tab/>
        <w:t>für die Schulpflege/Trägerschaft</w:t>
      </w:r>
      <w:r>
        <w:br/>
      </w:r>
      <w:sdt>
        <w:sdtPr>
          <w:id w:val="2048020031"/>
          <w:placeholder>
            <w:docPart w:val="DefaultPlaceholder_1081868575"/>
          </w:placeholder>
          <w:showingPlcHdr/>
          <w:comboBox>
            <w:listItem w:value="Wählen Sie ein Element aus."/>
            <w:listItem w:displayText="die Präsidentin" w:value="die Präsidentin"/>
            <w:listItem w:displayText="der Präsident" w:value="der Präsident"/>
            <w:listItem w:displayText="Trägerschaft" w:value="Trägerschaft"/>
          </w:comboBox>
        </w:sdtPr>
        <w:sdtContent>
          <w:r>
            <w:rPr>
              <w:rStyle w:val="Platzhaltertext"/>
            </w:rPr>
            <w:t>Wählen Sie ein Element aus.</w:t>
          </w:r>
        </w:sdtContent>
      </w:sdt>
    </w:p>
    <w:sectPr>
      <w:headerReference w:type="even" r:id="rId8"/>
      <w:headerReference w:type="default" r:id="rId9"/>
      <w:footerReference w:type="default" r:id="rId10"/>
      <w:headerReference w:type="first" r:id="rId11"/>
      <w:footerReference w:type="first" r:id="rId12"/>
      <w:pgSz w:w="11906" w:h="16838" w:code="9"/>
      <w:pgMar w:top="851" w:right="851" w:bottom="851" w:left="141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sszeileVSA"/>
      <w:rPr>
        <w:noProof/>
        <w:lang w:val="de-DE"/>
      </w:rPr>
    </w:pPr>
  </w:p>
  <w:tbl>
    <w:tblPr>
      <w:tblW w:w="9709" w:type="dxa"/>
      <w:tblLayout w:type="fixed"/>
      <w:tblCellMar>
        <w:left w:w="70" w:type="dxa"/>
        <w:right w:w="70" w:type="dxa"/>
      </w:tblCellMar>
      <w:tblLook w:val="0000" w:firstRow="0" w:lastRow="0" w:firstColumn="0" w:lastColumn="0" w:noHBand="0" w:noVBand="0"/>
    </w:tblPr>
    <w:tblGrid>
      <w:gridCol w:w="3189"/>
      <w:gridCol w:w="3175"/>
      <w:gridCol w:w="3345"/>
    </w:tblGrid>
    <w:tr>
      <w:trPr>
        <w:trHeight w:val="601"/>
      </w:trPr>
      <w:tc>
        <w:tcPr>
          <w:tcW w:w="3189" w:type="dxa"/>
        </w:tcPr>
        <w:p>
          <w:pPr>
            <w:pStyle w:val="FusszeileVSA"/>
          </w:pPr>
          <w:r>
            <w:rPr>
              <w:noProof/>
              <w:lang w:eastAsia="de-CH"/>
            </w:rPr>
            <mc:AlternateContent>
              <mc:Choice Requires="wps">
                <w:drawing>
                  <wp:anchor distT="0" distB="0" distL="114300" distR="114300" simplePos="0" relativeHeight="251659776" behindDoc="0" locked="1" layoutInCell="1" allowOverlap="1">
                    <wp:simplePos x="0" y="0"/>
                    <wp:positionH relativeFrom="page">
                      <wp:posOffset>900430</wp:posOffset>
                    </wp:positionH>
                    <wp:positionV relativeFrom="page">
                      <wp:posOffset>9718040</wp:posOffset>
                    </wp:positionV>
                    <wp:extent cx="439420" cy="0"/>
                    <wp:effectExtent l="14605" t="21590" r="22225" b="165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BE20"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65.2pt" to="105.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iv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" strokeweight="2.27pt">
                    <w10:wrap anchorx="page" anchory="page"/>
                    <w10:anchorlock/>
                  </v:line>
                </w:pict>
              </mc:Fallback>
            </mc:AlternateContent>
          </w:r>
        </w:p>
        <w:p>
          <w:pPr>
            <w:pStyle w:val="FusszeileVSA"/>
          </w:pPr>
          <w:bookmarkStart w:id="11" w:name="Amt2"/>
          <w:bookmarkStart w:id="12" w:name="Abteilung2"/>
          <w:bookmarkStart w:id="13" w:name="Spezial7_2"/>
          <w:bookmarkEnd w:id="11"/>
          <w:bookmarkEnd w:id="12"/>
          <w:bookmarkEnd w:id="13"/>
        </w:p>
      </w:tc>
      <w:tc>
        <w:tcPr>
          <w:tcW w:w="3175" w:type="dxa"/>
        </w:tcPr>
        <w:p>
          <w:pPr>
            <w:pStyle w:val="FusszeileVSA"/>
          </w:pPr>
        </w:p>
        <w:p>
          <w:pPr>
            <w:pStyle w:val="FusszeileVSA"/>
          </w:pPr>
        </w:p>
      </w:tc>
      <w:tc>
        <w:tcPr>
          <w:tcW w:w="3345" w:type="dxa"/>
        </w:tcPr>
        <w:p>
          <w:pPr>
            <w:pStyle w:val="FusszeileVSA"/>
          </w:pPr>
        </w:p>
      </w:tc>
    </w:tr>
  </w:tbl>
  <w:p>
    <w:pPr>
      <w:pStyle w:val="FusszeileVSA"/>
      <w:rPr>
        <w:lang w:val="it-IT"/>
      </w:rPr>
    </w:pPr>
  </w:p>
  <w:p>
    <w:pPr>
      <w:pStyle w:val="FusszeileVS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sszeileVSA"/>
      <w:rPr>
        <w:noProof/>
        <w:lang w:val="de-DE"/>
      </w:rPr>
    </w:pPr>
  </w:p>
  <w:p>
    <w:pPr>
      <w:pStyle w:val="FusszeileVSA"/>
      <w:rPr>
        <w:noProof/>
        <w:lang w:val="de-DE"/>
      </w:rPr>
    </w:pPr>
  </w:p>
  <w:p>
    <w:pPr>
      <w:pStyle w:val="FusszeileVSA"/>
      <w:rPr>
        <w:noProof/>
        <w:lang w:val="de-DE"/>
      </w:rPr>
    </w:pPr>
  </w:p>
  <w:tbl>
    <w:tblPr>
      <w:tblW w:w="0" w:type="auto"/>
      <w:tblLayout w:type="fixed"/>
      <w:tblCellMar>
        <w:left w:w="70" w:type="dxa"/>
        <w:right w:w="70" w:type="dxa"/>
      </w:tblCellMar>
      <w:tblLook w:val="0000" w:firstRow="0" w:lastRow="0" w:firstColumn="0" w:lastColumn="0" w:noHBand="0" w:noVBand="0"/>
    </w:tblPr>
    <w:tblGrid>
      <w:gridCol w:w="3189"/>
      <w:gridCol w:w="3175"/>
      <w:gridCol w:w="3345"/>
    </w:tblGrid>
    <w:tr>
      <w:trPr>
        <w:trHeight w:val="601"/>
      </w:trPr>
      <w:tc>
        <w:tcPr>
          <w:tcW w:w="3189" w:type="dxa"/>
        </w:tcPr>
        <w:p>
          <w:pPr>
            <w:pStyle w:val="FusszeileVSA"/>
          </w:pPr>
        </w:p>
        <w:p>
          <w:pPr>
            <w:pStyle w:val="FusszeileVSA"/>
          </w:pPr>
          <w:bookmarkStart w:id="14" w:name="Amt"/>
          <w:bookmarkStart w:id="15" w:name="Abteilung"/>
          <w:bookmarkStart w:id="16" w:name="Spezial7"/>
          <w:bookmarkEnd w:id="14"/>
          <w:bookmarkEnd w:id="15"/>
          <w:bookmarkEnd w:id="16"/>
        </w:p>
      </w:tc>
      <w:tc>
        <w:tcPr>
          <w:tcW w:w="3175" w:type="dxa"/>
        </w:tcPr>
        <w:p>
          <w:pPr>
            <w:pStyle w:val="FusszeileVSA"/>
          </w:pPr>
          <w:bookmarkStart w:id="17" w:name="Spezial"/>
          <w:bookmarkEnd w:id="17"/>
        </w:p>
      </w:tc>
      <w:tc>
        <w:tcPr>
          <w:tcW w:w="3345" w:type="dxa"/>
        </w:tcPr>
        <w:p>
          <w:pPr>
            <w:pStyle w:val="FusszeileVSA"/>
          </w:pPr>
        </w:p>
      </w:tc>
    </w:tr>
  </w:tbl>
  <w:p>
    <w:pPr>
      <w:pStyle w:val="FusszeileVSA"/>
      <w:rPr>
        <w:lang w:val="it-IT"/>
      </w:rPr>
    </w:pPr>
  </w:p>
  <w:p>
    <w:pPr>
      <w:pStyle w:val="FusszeileVS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pPr>
      <w:ind w:right="360"/>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sz w:val="17"/>
        <w:lang w:val="de-DE"/>
      </w:rPr>
    </w:pPr>
  </w:p>
  <w:p>
    <w:pPr>
      <w:rPr>
        <w:sz w:val="17"/>
        <w:lang w:val="de-DE"/>
      </w:rPr>
    </w:pPr>
  </w:p>
  <w:p>
    <w:pPr>
      <w:rPr>
        <w:b w:val="0"/>
        <w:bCs/>
        <w:sz w:val="17"/>
        <w:lang w:val="de-DE"/>
      </w:rPr>
    </w:pPr>
    <w:r>
      <w:rPr>
        <w:rStyle w:val="Seitenzahl"/>
        <w:b w:val="0"/>
        <w:bCs/>
      </w:rPr>
      <w:fldChar w:fldCharType="begin"/>
    </w:r>
    <w:r>
      <w:rPr>
        <w:rStyle w:val="Seitenzahl"/>
        <w:b w:val="0"/>
        <w:bCs/>
      </w:rPr>
      <w:instrText xml:space="preserve"> PAGE </w:instrText>
    </w:r>
    <w:r>
      <w:rPr>
        <w:rStyle w:val="Seitenzahl"/>
        <w:b w:val="0"/>
        <w:bCs/>
      </w:rPr>
      <w:fldChar w:fldCharType="separate"/>
    </w:r>
    <w:r>
      <w:rPr>
        <w:rStyle w:val="Seitenzahl"/>
        <w:b w:val="0"/>
        <w:bCs/>
        <w:noProof/>
      </w:rPr>
      <w:t>3</w:t>
    </w:r>
    <w:r>
      <w:rPr>
        <w:rStyle w:val="Seitenzahl"/>
        <w:b w:val="0"/>
        <w:bCs/>
      </w:rPr>
      <w:fldChar w:fldCharType="end"/>
    </w:r>
    <w:r>
      <w:rPr>
        <w:rStyle w:val="Seitenzahl"/>
        <w:b w:val="0"/>
        <w:bCs/>
      </w:rPr>
      <w:t xml:space="preserve"> / </w:t>
    </w:r>
    <w:r>
      <w:rPr>
        <w:rStyle w:val="Seitenzahl"/>
        <w:b w:val="0"/>
        <w:bCs/>
      </w:rPr>
      <w:fldChar w:fldCharType="begin"/>
    </w:r>
    <w:r>
      <w:rPr>
        <w:rStyle w:val="Seitenzahl"/>
        <w:b w:val="0"/>
        <w:bCs/>
      </w:rPr>
      <w:instrText xml:space="preserve"> NUMPAGES </w:instrText>
    </w:r>
    <w:r>
      <w:rPr>
        <w:rStyle w:val="Seitenzahl"/>
        <w:b w:val="0"/>
        <w:bCs/>
      </w:rPr>
      <w:fldChar w:fldCharType="separate"/>
    </w:r>
    <w:r>
      <w:rPr>
        <w:rStyle w:val="Seitenzahl"/>
        <w:b w:val="0"/>
        <w:bCs/>
        <w:noProof/>
      </w:rPr>
      <w:t>4</w:t>
    </w:r>
    <w:r>
      <w:rPr>
        <w:rStyle w:val="Seitenzahl"/>
        <w:b w:val="0"/>
        <w:bCs/>
      </w:rPr>
      <w:fldChar w:fldCharType="end"/>
    </w:r>
  </w:p>
  <w:p>
    <w:pPr>
      <w:pStyle w:val="berschrift1"/>
      <w:rPr>
        <w:sz w:val="17"/>
      </w:rPr>
    </w:pPr>
  </w:p>
  <w:p>
    <w:pPr>
      <w:rPr>
        <w:sz w:val="36"/>
      </w:rPr>
    </w:pPr>
  </w:p>
  <w:p>
    <w:pPr>
      <w:pStyle w:val="GrundschriftVSA"/>
      <w:rPr>
        <w:rStyle w:val="Seitenzahl"/>
      </w:rPr>
    </w:pPr>
  </w:p>
  <w:p>
    <w:pPr>
      <w:pStyle w:val="berschrif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erschrift1"/>
      <w:rPr>
        <w:i/>
      </w:rPr>
    </w:pPr>
    <w:r>
      <w:rPr>
        <w:i/>
      </w:rPr>
      <w:t>Briefkopf der Schulgemeinde/Schule/Trägerschaft</w:t>
    </w:r>
  </w:p>
  <w:p>
    <w:pPr>
      <w:pStyle w:val="berschrift1"/>
    </w:pPr>
  </w:p>
  <w:p>
    <w:pPr>
      <w:pStyle w:val="berschrif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470B1A6"/>
    <w:lvl w:ilvl="0">
      <w:start w:val="1"/>
      <w:numFmt w:val="bullet"/>
      <w:lvlText w:val="-"/>
      <w:lvlJc w:val="left"/>
      <w:pPr>
        <w:tabs>
          <w:tab w:val="num" w:pos="1069"/>
        </w:tabs>
        <w:ind w:left="1069" w:hanging="360"/>
      </w:pPr>
      <w:rPr>
        <w:sz w:val="16"/>
      </w:rPr>
    </w:lvl>
  </w:abstractNum>
  <w:abstractNum w:abstractNumId="1" w15:restartNumberingAfterBreak="0">
    <w:nsid w:val="FFFFFF81"/>
    <w:multiLevelType w:val="singleLevel"/>
    <w:tmpl w:val="25906A02"/>
    <w:lvl w:ilvl="0">
      <w:start w:val="1"/>
      <w:numFmt w:val="bullet"/>
      <w:lvlText w:val="-"/>
      <w:lvlJc w:val="left"/>
      <w:pPr>
        <w:tabs>
          <w:tab w:val="num" w:pos="927"/>
        </w:tabs>
        <w:ind w:left="927" w:hanging="360"/>
      </w:pPr>
      <w:rPr>
        <w:sz w:val="16"/>
      </w:rPr>
    </w:lvl>
  </w:abstractNum>
  <w:abstractNum w:abstractNumId="2" w15:restartNumberingAfterBreak="0">
    <w:nsid w:val="FFFFFF82"/>
    <w:multiLevelType w:val="singleLevel"/>
    <w:tmpl w:val="44306ABC"/>
    <w:lvl w:ilvl="0">
      <w:start w:val="1"/>
      <w:numFmt w:val="bullet"/>
      <w:lvlText w:val="-"/>
      <w:lvlJc w:val="left"/>
      <w:pPr>
        <w:tabs>
          <w:tab w:val="num" w:pos="785"/>
        </w:tabs>
        <w:ind w:left="785" w:hanging="360"/>
      </w:pPr>
      <w:rPr>
        <w:sz w:val="16"/>
      </w:rPr>
    </w:lvl>
  </w:abstractNum>
  <w:abstractNum w:abstractNumId="3" w15:restartNumberingAfterBreak="0">
    <w:nsid w:val="FFFFFF83"/>
    <w:multiLevelType w:val="singleLevel"/>
    <w:tmpl w:val="988CB904"/>
    <w:lvl w:ilvl="0">
      <w:start w:val="1"/>
      <w:numFmt w:val="bullet"/>
      <w:lvlText w:val="-"/>
      <w:lvlJc w:val="left"/>
      <w:pPr>
        <w:tabs>
          <w:tab w:val="num" w:pos="644"/>
        </w:tabs>
        <w:ind w:left="644" w:hanging="360"/>
      </w:pPr>
      <w:rPr>
        <w:sz w:val="16"/>
      </w:rPr>
    </w:lvl>
  </w:abstractNum>
  <w:abstractNum w:abstractNumId="4" w15:restartNumberingAfterBreak="0">
    <w:nsid w:val="FFFFFF89"/>
    <w:multiLevelType w:val="singleLevel"/>
    <w:tmpl w:val="F2E027E4"/>
    <w:lvl w:ilvl="0">
      <w:start w:val="1"/>
      <w:numFmt w:val="bullet"/>
      <w:pStyle w:val="TraktandumVSA"/>
      <w:lvlText w:val="-"/>
      <w:lvlJc w:val="left"/>
      <w:pPr>
        <w:tabs>
          <w:tab w:val="num" w:pos="360"/>
        </w:tabs>
        <w:ind w:left="142" w:hanging="142"/>
      </w:pPr>
      <w:rPr>
        <w:rFonts w:hint="default"/>
        <w:sz w:val="16"/>
      </w:rPr>
    </w:lvl>
  </w:abstractNum>
  <w:abstractNum w:abstractNumId="5" w15:restartNumberingAfterBreak="0">
    <w:nsid w:val="025828D2"/>
    <w:multiLevelType w:val="hybridMultilevel"/>
    <w:tmpl w:val="EC761BFC"/>
    <w:lvl w:ilvl="0" w:tplc="F77CF8E8">
      <w:start w:val="1"/>
      <w:numFmt w:val="decimal"/>
      <w:lvlText w:val="%1."/>
      <w:lvlJc w:val="left"/>
      <w:pPr>
        <w:tabs>
          <w:tab w:val="num" w:pos="360"/>
        </w:tabs>
        <w:ind w:left="142" w:hanging="14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C61BE9"/>
    <w:multiLevelType w:val="hybridMultilevel"/>
    <w:tmpl w:val="42343B62"/>
    <w:lvl w:ilvl="0" w:tplc="22462908">
      <w:start w:val="1"/>
      <w:numFmt w:val="bullet"/>
      <w:pStyle w:val="EinzugVSA2"/>
      <w:lvlText w:val="-"/>
      <w:lvlJc w:val="left"/>
      <w:pPr>
        <w:tabs>
          <w:tab w:val="num" w:pos="644"/>
        </w:tabs>
        <w:ind w:left="426" w:hanging="142"/>
      </w:pPr>
      <w:rPr>
        <w:rFonts w:hint="default"/>
        <w:sz w:val="16"/>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7487455"/>
    <w:multiLevelType w:val="hybridMultilevel"/>
    <w:tmpl w:val="B47A2A1A"/>
    <w:lvl w:ilvl="0" w:tplc="08070017">
      <w:start w:val="1"/>
      <w:numFmt w:val="lowerLetter"/>
      <w:lvlText w:val="%1)"/>
      <w:lvlJc w:val="left"/>
      <w:pPr>
        <w:tabs>
          <w:tab w:val="num" w:pos="720"/>
        </w:tabs>
        <w:ind w:left="720" w:hanging="360"/>
      </w:pPr>
      <w:rPr>
        <w:rFonts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22A30"/>
    <w:multiLevelType w:val="multilevel"/>
    <w:tmpl w:val="F028E848"/>
    <w:lvl w:ilvl="0">
      <w:start w:val="1"/>
      <w:numFmt w:val="decimal"/>
      <w:pStyle w:val="EinzugNR3"/>
      <w:lvlText w:val="%1."/>
      <w:lvlJc w:val="left"/>
      <w:pPr>
        <w:tabs>
          <w:tab w:val="num" w:pos="785"/>
        </w:tabs>
        <w:ind w:left="567" w:hanging="142"/>
      </w:pPr>
      <w:rPr>
        <w:rFonts w:ascii="Arial" w:hAnsi="Arial" w:cs="Times New Roman" w:hint="default"/>
        <w:sz w:val="20"/>
      </w:rPr>
    </w:lvl>
    <w:lvl w:ilvl="1">
      <w:start w:val="1"/>
      <w:numFmt w:val="decimal"/>
      <w:lvlText w:val="%1.%2."/>
      <w:lvlJc w:val="left"/>
      <w:pPr>
        <w:tabs>
          <w:tab w:val="num" w:pos="1647"/>
        </w:tabs>
        <w:ind w:left="1359" w:hanging="432"/>
      </w:pPr>
      <w:rPr>
        <w:rFonts w:cs="Times New Roman" w:hint="default"/>
      </w:rPr>
    </w:lvl>
    <w:lvl w:ilvl="2">
      <w:start w:val="1"/>
      <w:numFmt w:val="decimal"/>
      <w:lvlText w:val="%1.%2.%3."/>
      <w:lvlJc w:val="left"/>
      <w:pPr>
        <w:tabs>
          <w:tab w:val="num" w:pos="2367"/>
        </w:tabs>
        <w:ind w:left="1791" w:hanging="504"/>
      </w:pPr>
      <w:rPr>
        <w:rFonts w:cs="Times New Roman" w:hint="default"/>
      </w:rPr>
    </w:lvl>
    <w:lvl w:ilvl="3">
      <w:start w:val="1"/>
      <w:numFmt w:val="decimal"/>
      <w:lvlText w:val="%1.%2.%3.%4."/>
      <w:lvlJc w:val="left"/>
      <w:pPr>
        <w:tabs>
          <w:tab w:val="num" w:pos="3087"/>
        </w:tabs>
        <w:ind w:left="2295" w:hanging="648"/>
      </w:pPr>
      <w:rPr>
        <w:rFonts w:cs="Times New Roman" w:hint="default"/>
      </w:rPr>
    </w:lvl>
    <w:lvl w:ilvl="4">
      <w:start w:val="1"/>
      <w:numFmt w:val="decimal"/>
      <w:lvlText w:val="%1.%2.%3.%4.%5."/>
      <w:lvlJc w:val="left"/>
      <w:pPr>
        <w:tabs>
          <w:tab w:val="num" w:pos="3807"/>
        </w:tabs>
        <w:ind w:left="2799" w:hanging="792"/>
      </w:pPr>
      <w:rPr>
        <w:rFonts w:cs="Times New Roman" w:hint="default"/>
      </w:rPr>
    </w:lvl>
    <w:lvl w:ilvl="5">
      <w:start w:val="1"/>
      <w:numFmt w:val="decimal"/>
      <w:lvlText w:val="%1.%2.%3.%4.%5.%6."/>
      <w:lvlJc w:val="left"/>
      <w:pPr>
        <w:tabs>
          <w:tab w:val="num" w:pos="4527"/>
        </w:tabs>
        <w:ind w:left="3303" w:hanging="936"/>
      </w:pPr>
      <w:rPr>
        <w:rFonts w:cs="Times New Roman" w:hint="default"/>
      </w:rPr>
    </w:lvl>
    <w:lvl w:ilvl="6">
      <w:start w:val="1"/>
      <w:numFmt w:val="decimal"/>
      <w:lvlText w:val="%1.%2.%3.%4.%5.%6.%7."/>
      <w:lvlJc w:val="left"/>
      <w:pPr>
        <w:tabs>
          <w:tab w:val="num" w:pos="5247"/>
        </w:tabs>
        <w:ind w:left="3807" w:hanging="1080"/>
      </w:pPr>
      <w:rPr>
        <w:rFonts w:cs="Times New Roman" w:hint="default"/>
      </w:rPr>
    </w:lvl>
    <w:lvl w:ilvl="7">
      <w:start w:val="1"/>
      <w:numFmt w:val="decimal"/>
      <w:lvlText w:val="%1.%2.%3.%4.%5.%6.%7.%8."/>
      <w:lvlJc w:val="left"/>
      <w:pPr>
        <w:tabs>
          <w:tab w:val="num" w:pos="5967"/>
        </w:tabs>
        <w:ind w:left="4311" w:hanging="1224"/>
      </w:pPr>
      <w:rPr>
        <w:rFonts w:cs="Times New Roman" w:hint="default"/>
      </w:rPr>
    </w:lvl>
    <w:lvl w:ilvl="8">
      <w:start w:val="1"/>
      <w:numFmt w:val="decimal"/>
      <w:lvlText w:val="%1.%2.%3.%4.%5.%6.%7.%8.%9."/>
      <w:lvlJc w:val="left"/>
      <w:pPr>
        <w:tabs>
          <w:tab w:val="num" w:pos="6687"/>
        </w:tabs>
        <w:ind w:left="4887" w:hanging="1440"/>
      </w:pPr>
      <w:rPr>
        <w:rFonts w:cs="Times New Roman" w:hint="default"/>
      </w:rPr>
    </w:lvl>
  </w:abstractNum>
  <w:abstractNum w:abstractNumId="9" w15:restartNumberingAfterBreak="0">
    <w:nsid w:val="2DB47F80"/>
    <w:multiLevelType w:val="hybridMultilevel"/>
    <w:tmpl w:val="9DCACDF8"/>
    <w:lvl w:ilvl="0" w:tplc="47DAFC50">
      <w:start w:val="1"/>
      <w:numFmt w:val="bullet"/>
      <w:pStyle w:val="EinzugVSA"/>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80E55"/>
    <w:multiLevelType w:val="multilevel"/>
    <w:tmpl w:val="A77E2A5C"/>
    <w:lvl w:ilvl="0">
      <w:start w:val="1"/>
      <w:numFmt w:val="decimal"/>
      <w:pStyle w:val="EinzugNR4"/>
      <w:isLgl/>
      <w:lvlText w:val="%1."/>
      <w:lvlJc w:val="left"/>
      <w:pPr>
        <w:tabs>
          <w:tab w:val="num" w:pos="1069"/>
        </w:tabs>
        <w:ind w:left="851" w:hanging="142"/>
      </w:pPr>
      <w:rPr>
        <w:rFonts w:ascii="Arial" w:hAnsi="Arial" w:cs="Times New Roman" w:hint="default"/>
        <w:sz w:val="20"/>
      </w:rPr>
    </w:lvl>
    <w:lvl w:ilvl="1">
      <w:start w:val="1"/>
      <w:numFmt w:val="decimal"/>
      <w:lvlText w:val="%1.%2."/>
      <w:lvlJc w:val="left"/>
      <w:pPr>
        <w:tabs>
          <w:tab w:val="num" w:pos="1789"/>
        </w:tabs>
        <w:ind w:left="1501" w:hanging="432"/>
      </w:pPr>
      <w:rPr>
        <w:rFonts w:cs="Times New Roman" w:hint="default"/>
      </w:rPr>
    </w:lvl>
    <w:lvl w:ilvl="2">
      <w:start w:val="1"/>
      <w:numFmt w:val="decimal"/>
      <w:lvlText w:val="%1.%2.%3."/>
      <w:lvlJc w:val="left"/>
      <w:pPr>
        <w:tabs>
          <w:tab w:val="num" w:pos="2509"/>
        </w:tabs>
        <w:ind w:left="1933" w:hanging="504"/>
      </w:pPr>
      <w:rPr>
        <w:rFonts w:cs="Times New Roman" w:hint="default"/>
      </w:rPr>
    </w:lvl>
    <w:lvl w:ilvl="3">
      <w:start w:val="1"/>
      <w:numFmt w:val="decimal"/>
      <w:lvlText w:val="%1.%2.%3.%4."/>
      <w:lvlJc w:val="left"/>
      <w:pPr>
        <w:tabs>
          <w:tab w:val="num" w:pos="3229"/>
        </w:tabs>
        <w:ind w:left="2437" w:hanging="648"/>
      </w:pPr>
      <w:rPr>
        <w:rFonts w:cs="Times New Roman" w:hint="default"/>
      </w:rPr>
    </w:lvl>
    <w:lvl w:ilvl="4">
      <w:start w:val="1"/>
      <w:numFmt w:val="decimal"/>
      <w:lvlText w:val="%1.%2.%3.%4.%5."/>
      <w:lvlJc w:val="left"/>
      <w:pPr>
        <w:tabs>
          <w:tab w:val="num" w:pos="3949"/>
        </w:tabs>
        <w:ind w:left="2941" w:hanging="792"/>
      </w:pPr>
      <w:rPr>
        <w:rFonts w:cs="Times New Roman" w:hint="default"/>
      </w:rPr>
    </w:lvl>
    <w:lvl w:ilvl="5">
      <w:start w:val="1"/>
      <w:numFmt w:val="decimal"/>
      <w:lvlText w:val="%1.%2.%3.%4.%5.%6."/>
      <w:lvlJc w:val="left"/>
      <w:pPr>
        <w:tabs>
          <w:tab w:val="num" w:pos="4669"/>
        </w:tabs>
        <w:ind w:left="3445" w:hanging="936"/>
      </w:pPr>
      <w:rPr>
        <w:rFonts w:cs="Times New Roman" w:hint="default"/>
      </w:rPr>
    </w:lvl>
    <w:lvl w:ilvl="6">
      <w:start w:val="1"/>
      <w:numFmt w:val="decimal"/>
      <w:lvlText w:val="%1.%2.%3.%4.%5.%6.%7."/>
      <w:lvlJc w:val="left"/>
      <w:pPr>
        <w:tabs>
          <w:tab w:val="num" w:pos="5389"/>
        </w:tabs>
        <w:ind w:left="3949" w:hanging="1080"/>
      </w:pPr>
      <w:rPr>
        <w:rFonts w:cs="Times New Roman" w:hint="default"/>
      </w:rPr>
    </w:lvl>
    <w:lvl w:ilvl="7">
      <w:start w:val="1"/>
      <w:numFmt w:val="decimal"/>
      <w:lvlText w:val="%1.%2.%3.%4.%5.%6.%7.%8."/>
      <w:lvlJc w:val="left"/>
      <w:pPr>
        <w:tabs>
          <w:tab w:val="num" w:pos="6109"/>
        </w:tabs>
        <w:ind w:left="4453" w:hanging="1224"/>
      </w:pPr>
      <w:rPr>
        <w:rFonts w:cs="Times New Roman" w:hint="default"/>
      </w:rPr>
    </w:lvl>
    <w:lvl w:ilvl="8">
      <w:start w:val="1"/>
      <w:numFmt w:val="decimal"/>
      <w:lvlText w:val="%1.%2.%3.%4.%5.%6.%7.%8.%9."/>
      <w:lvlJc w:val="left"/>
      <w:pPr>
        <w:tabs>
          <w:tab w:val="num" w:pos="6829"/>
        </w:tabs>
        <w:ind w:left="5029" w:hanging="1440"/>
      </w:pPr>
      <w:rPr>
        <w:rFonts w:cs="Times New Roman" w:hint="default"/>
      </w:rPr>
    </w:lvl>
  </w:abstractNum>
  <w:abstractNum w:abstractNumId="11" w15:restartNumberingAfterBreak="0">
    <w:nsid w:val="3A6C6FEC"/>
    <w:multiLevelType w:val="multilevel"/>
    <w:tmpl w:val="1F2AE044"/>
    <w:lvl w:ilvl="0">
      <w:numFmt w:val="bullet"/>
      <w:lvlText w:val=""/>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50751"/>
    <w:multiLevelType w:val="multilevel"/>
    <w:tmpl w:val="E092EBB0"/>
    <w:lvl w:ilvl="0">
      <w:numFmt w:val="bullet"/>
      <w:lvlText w:val=""/>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649A8"/>
    <w:multiLevelType w:val="hybridMultilevel"/>
    <w:tmpl w:val="A17CC370"/>
    <w:lvl w:ilvl="0" w:tplc="4658350C">
      <w:start w:val="1"/>
      <w:numFmt w:val="bullet"/>
      <w:pStyle w:val="EinzugVSA3"/>
      <w:lvlText w:val="-"/>
      <w:lvlJc w:val="left"/>
      <w:pPr>
        <w:tabs>
          <w:tab w:val="num" w:pos="785"/>
        </w:tabs>
        <w:ind w:left="567" w:hanging="142"/>
      </w:pPr>
      <w:rPr>
        <w:rFonts w:hint="default"/>
        <w:sz w:val="16"/>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544104F4"/>
    <w:multiLevelType w:val="hybridMultilevel"/>
    <w:tmpl w:val="36409C20"/>
    <w:lvl w:ilvl="0" w:tplc="85C66852">
      <w:start w:val="1"/>
      <w:numFmt w:val="bullet"/>
      <w:pStyle w:val="EinzugVSA4"/>
      <w:lvlText w:val="-"/>
      <w:lvlJc w:val="left"/>
      <w:pPr>
        <w:tabs>
          <w:tab w:val="num" w:pos="927"/>
        </w:tabs>
        <w:ind w:left="709" w:hanging="142"/>
      </w:pPr>
      <w:rPr>
        <w:rFonts w:hint="default"/>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47B421D"/>
    <w:multiLevelType w:val="hybridMultilevel"/>
    <w:tmpl w:val="241A40E4"/>
    <w:lvl w:ilvl="0" w:tplc="AEF09AB4">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F6175"/>
    <w:multiLevelType w:val="hybridMultilevel"/>
    <w:tmpl w:val="FF2E3786"/>
    <w:lvl w:ilvl="0" w:tplc="7DAA4FB4">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D30AB"/>
    <w:multiLevelType w:val="multilevel"/>
    <w:tmpl w:val="516E4158"/>
    <w:lvl w:ilvl="0">
      <w:start w:val="1"/>
      <w:numFmt w:val="decimal"/>
      <w:lvlText w:val="%1."/>
      <w:lvlJc w:val="left"/>
      <w:pPr>
        <w:tabs>
          <w:tab w:val="num" w:pos="720"/>
        </w:tabs>
        <w:ind w:left="720" w:hanging="360"/>
      </w:pPr>
      <w:rPr>
        <w:rFonts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967C7"/>
    <w:multiLevelType w:val="hybridMultilevel"/>
    <w:tmpl w:val="1F2AE044"/>
    <w:lvl w:ilvl="0" w:tplc="AF5879AA">
      <w:numFmt w:val="bullet"/>
      <w:lvlText w:val=""/>
      <w:lvlJc w:val="left"/>
      <w:pPr>
        <w:tabs>
          <w:tab w:val="num" w:pos="720"/>
        </w:tabs>
        <w:ind w:left="720" w:hanging="360"/>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E207F"/>
    <w:multiLevelType w:val="hybridMultilevel"/>
    <w:tmpl w:val="180009F4"/>
    <w:lvl w:ilvl="0" w:tplc="9A58A7BA">
      <w:start w:val="1"/>
      <w:numFmt w:val="bullet"/>
      <w:pStyle w:val="EinzugVSA1"/>
      <w:lvlText w:val="-"/>
      <w:lvlJc w:val="left"/>
      <w:pPr>
        <w:tabs>
          <w:tab w:val="num" w:pos="502"/>
        </w:tabs>
        <w:ind w:left="284" w:hanging="142"/>
      </w:pPr>
      <w:rPr>
        <w:rFonts w:hint="default"/>
        <w:sz w:val="16"/>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6C47304B"/>
    <w:multiLevelType w:val="multilevel"/>
    <w:tmpl w:val="AD1EC250"/>
    <w:lvl w:ilvl="0">
      <w:start w:val="1"/>
      <w:numFmt w:val="decimal"/>
      <w:pStyle w:val="EinzugNR2"/>
      <w:isLgl/>
      <w:lvlText w:val="%1."/>
      <w:lvlJc w:val="left"/>
      <w:pPr>
        <w:tabs>
          <w:tab w:val="num" w:pos="851"/>
        </w:tabs>
        <w:ind w:left="851" w:hanging="567"/>
      </w:pPr>
      <w:rPr>
        <w:rFonts w:ascii="Arial" w:hAnsi="Arial" w:cs="Times New Roman" w:hint="default"/>
        <w:sz w:val="20"/>
      </w:rPr>
    </w:lvl>
    <w:lvl w:ilvl="1">
      <w:start w:val="1"/>
      <w:numFmt w:val="decimal"/>
      <w:lvlText w:val="%1.%2."/>
      <w:lvlJc w:val="left"/>
      <w:pPr>
        <w:tabs>
          <w:tab w:val="num" w:pos="1305"/>
        </w:tabs>
        <w:ind w:left="1305" w:hanging="1021"/>
      </w:pPr>
      <w:rPr>
        <w:rFonts w:cs="Times New Roman" w:hint="default"/>
      </w:rPr>
    </w:lvl>
    <w:lvl w:ilvl="2">
      <w:start w:val="1"/>
      <w:numFmt w:val="decimal"/>
      <w:lvlText w:val="%1.%2.%3."/>
      <w:lvlJc w:val="left"/>
      <w:pPr>
        <w:tabs>
          <w:tab w:val="num" w:pos="2041"/>
        </w:tabs>
        <w:ind w:left="2041" w:hanging="1757"/>
      </w:pPr>
      <w:rPr>
        <w:rFonts w:cs="Times New Roman" w:hint="default"/>
      </w:rPr>
    </w:lvl>
    <w:lvl w:ilvl="3">
      <w:start w:val="1"/>
      <w:numFmt w:val="decimal"/>
      <w:lvlText w:val="%1.%2.%3.%4."/>
      <w:lvlJc w:val="left"/>
      <w:pPr>
        <w:tabs>
          <w:tab w:val="num" w:pos="2804"/>
        </w:tabs>
        <w:ind w:left="2012" w:hanging="648"/>
      </w:pPr>
      <w:rPr>
        <w:rFonts w:cs="Times New Roman" w:hint="default"/>
      </w:rPr>
    </w:lvl>
    <w:lvl w:ilvl="4">
      <w:start w:val="1"/>
      <w:numFmt w:val="decimal"/>
      <w:lvlText w:val="%1.%2.%3.%4.%5."/>
      <w:lvlJc w:val="left"/>
      <w:pPr>
        <w:tabs>
          <w:tab w:val="num" w:pos="3524"/>
        </w:tabs>
        <w:ind w:left="2516" w:hanging="792"/>
      </w:pPr>
      <w:rPr>
        <w:rFonts w:cs="Times New Roman" w:hint="default"/>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21" w15:restartNumberingAfterBreak="0">
    <w:nsid w:val="72310413"/>
    <w:multiLevelType w:val="hybridMultilevel"/>
    <w:tmpl w:val="E092EBB0"/>
    <w:lvl w:ilvl="0" w:tplc="AF5879AA">
      <w:numFmt w:val="bullet"/>
      <w:lvlText w:val=""/>
      <w:lvlJc w:val="left"/>
      <w:pPr>
        <w:tabs>
          <w:tab w:val="num" w:pos="720"/>
        </w:tabs>
        <w:ind w:left="720" w:hanging="360"/>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F76245"/>
    <w:multiLevelType w:val="multilevel"/>
    <w:tmpl w:val="D0107A70"/>
    <w:lvl w:ilvl="0">
      <w:start w:val="1"/>
      <w:numFmt w:val="decimal"/>
      <w:pStyle w:val="EinzugNR1"/>
      <w:isLgl/>
      <w:lvlText w:val="%1."/>
      <w:lvlJc w:val="left"/>
      <w:pPr>
        <w:tabs>
          <w:tab w:val="num" w:pos="360"/>
        </w:tabs>
        <w:ind w:left="142" w:hanging="142"/>
      </w:pPr>
      <w:rPr>
        <w:rFonts w:ascii="Arial" w:hAnsi="Arial" w:cs="Times New Roman" w:hint="default"/>
        <w:sz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5"/>
  </w:num>
  <w:num w:numId="12">
    <w:abstractNumId w:val="9"/>
  </w:num>
  <w:num w:numId="13">
    <w:abstractNumId w:val="19"/>
  </w:num>
  <w:num w:numId="14">
    <w:abstractNumId w:val="6"/>
  </w:num>
  <w:num w:numId="15">
    <w:abstractNumId w:val="13"/>
  </w:num>
  <w:num w:numId="16">
    <w:abstractNumId w:val="14"/>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0"/>
  </w:num>
  <w:num w:numId="24">
    <w:abstractNumId w:val="8"/>
  </w:num>
  <w:num w:numId="25">
    <w:abstractNumId w:val="10"/>
  </w:num>
  <w:num w:numId="26">
    <w:abstractNumId w:val="15"/>
  </w:num>
  <w:num w:numId="27">
    <w:abstractNumId w:val="5"/>
  </w:num>
  <w:num w:numId="28">
    <w:abstractNumId w:val="5"/>
  </w:num>
  <w:num w:numId="29">
    <w:abstractNumId w:val="5"/>
  </w:num>
  <w:num w:numId="30">
    <w:abstractNumId w:val="18"/>
  </w:num>
  <w:num w:numId="31">
    <w:abstractNumId w:val="11"/>
  </w:num>
  <w:num w:numId="32">
    <w:abstractNumId w:val="7"/>
  </w:num>
  <w:num w:numId="33">
    <w:abstractNumId w:val="17"/>
  </w:num>
  <w:num w:numId="34">
    <w:abstractNumId w:val="21"/>
  </w:num>
  <w:num w:numId="35">
    <w:abstractNumId w:val="12"/>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DFEA4FF5-87F2-4A49-9FC2-B50D2F93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next w:val="GrundschriftVSA"/>
    <w:qFormat/>
    <w:pPr>
      <w:spacing w:line="280" w:lineRule="exact"/>
    </w:pPr>
    <w:rPr>
      <w:rFonts w:ascii="Arial" w:hAnsi="Arial"/>
      <w:b/>
      <w:spacing w:val="2"/>
      <w:sz w:val="22"/>
      <w:lang w:eastAsia="de-DE"/>
    </w:rPr>
  </w:style>
  <w:style w:type="paragraph" w:styleId="berschrift1">
    <w:name w:val="heading 1"/>
    <w:basedOn w:val="Standard"/>
    <w:next w:val="Standard"/>
    <w:link w:val="berschrift1Zchn"/>
    <w:qFormat/>
    <w:pPr>
      <w:keepNext/>
      <w:spacing w:before="240" w:after="60"/>
      <w:outlineLvl w:val="0"/>
    </w:pPr>
    <w:rPr>
      <w:b w:val="0"/>
      <w:kern w:val="32"/>
      <w:sz w:val="24"/>
    </w:rPr>
  </w:style>
  <w:style w:type="paragraph" w:styleId="berschrift2">
    <w:name w:val="heading 2"/>
    <w:basedOn w:val="Standard"/>
    <w:next w:val="Standard"/>
    <w:link w:val="berschrift2Zchn"/>
    <w:qFormat/>
    <w:pPr>
      <w:keepNext/>
      <w:outlineLvl w:val="1"/>
    </w:pPr>
    <w:rPr>
      <w:b w:val="0"/>
      <w:sz w:val="20"/>
    </w:rPr>
  </w:style>
  <w:style w:type="paragraph" w:styleId="berschrift3">
    <w:name w:val="heading 3"/>
    <w:basedOn w:val="Standard"/>
    <w:next w:val="Standard"/>
    <w:link w:val="berschrift3Zchn"/>
    <w:qFormat/>
    <w:pPr>
      <w:keepNex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spacing w:val="2"/>
      <w:kern w:val="32"/>
      <w:sz w:val="32"/>
      <w:szCs w:val="32"/>
      <w:lang w:val="x-none" w:eastAsia="de-DE"/>
    </w:rPr>
  </w:style>
  <w:style w:type="character" w:customStyle="1" w:styleId="berschrift2Zchn">
    <w:name w:val="Überschrift 2 Zchn"/>
    <w:link w:val="berschrift2"/>
    <w:semiHidden/>
    <w:locked/>
    <w:rPr>
      <w:rFonts w:ascii="Cambria" w:hAnsi="Cambria" w:cs="Times New Roman"/>
      <w:b/>
      <w:bCs/>
      <w:i/>
      <w:iCs/>
      <w:spacing w:val="2"/>
      <w:sz w:val="28"/>
      <w:szCs w:val="28"/>
      <w:lang w:val="x-none" w:eastAsia="de-DE"/>
    </w:rPr>
  </w:style>
  <w:style w:type="character" w:customStyle="1" w:styleId="berschrift3Zchn">
    <w:name w:val="Überschrift 3 Zchn"/>
    <w:link w:val="berschrift3"/>
    <w:semiHidden/>
    <w:locked/>
    <w:rPr>
      <w:rFonts w:ascii="Cambria" w:hAnsi="Cambria" w:cs="Times New Roman"/>
      <w:b/>
      <w:bCs/>
      <w:spacing w:val="2"/>
      <w:sz w:val="26"/>
      <w:szCs w:val="26"/>
      <w:lang w:val="x-none" w:eastAsia="de-DE"/>
    </w:rPr>
  </w:style>
  <w:style w:type="paragraph" w:customStyle="1" w:styleId="GrundschriftVSA">
    <w:name w:val="_Grundschrift VSA"/>
    <w:basedOn w:val="Standard"/>
    <w:link w:val="GrundschriftVSAZchn"/>
    <w:pPr>
      <w:spacing w:line="280" w:lineRule="atLeast"/>
    </w:pPr>
    <w:rPr>
      <w:b w:val="0"/>
    </w:rPr>
  </w:style>
  <w:style w:type="character" w:styleId="Hervorhebung">
    <w:name w:val="Emphasis"/>
    <w:qFormat/>
    <w:rPr>
      <w:rFonts w:ascii="Arial Black" w:hAnsi="Arial Black" w:cs="Times New Roman"/>
      <w:sz w:val="18"/>
    </w:rPr>
  </w:style>
  <w:style w:type="character" w:styleId="Seitenzahl">
    <w:name w:val="page number"/>
    <w:rPr>
      <w:rFonts w:ascii="Arial" w:hAnsi="Arial" w:cs="Times New Roman"/>
      <w:sz w:val="17"/>
    </w:rPr>
  </w:style>
  <w:style w:type="paragraph" w:customStyle="1" w:styleId="HaupttitelVSA">
    <w:name w:val="_Haupttitel VSA"/>
    <w:basedOn w:val="GrundschriftVSA"/>
    <w:next w:val="GrundschriftVSA"/>
    <w:pPr>
      <w:widowControl w:val="0"/>
      <w:spacing w:before="360" w:after="60"/>
      <w:ind w:left="-85"/>
    </w:pPr>
    <w:rPr>
      <w:spacing w:val="0"/>
      <w:sz w:val="36"/>
    </w:rPr>
  </w:style>
  <w:style w:type="paragraph" w:styleId="Verzeichnis1">
    <w:name w:val="toc 1"/>
    <w:basedOn w:val="Standard"/>
    <w:next w:val="Standard"/>
    <w:semiHidden/>
  </w:style>
  <w:style w:type="paragraph" w:customStyle="1" w:styleId="TraktandumVSA">
    <w:name w:val="_Traktandum VSA"/>
    <w:basedOn w:val="GrundschriftVSA"/>
    <w:next w:val="GrundschriftVSA"/>
    <w:link w:val="TraktandumVSAZchn"/>
    <w:pPr>
      <w:numPr>
        <w:numId w:val="6"/>
      </w:numPr>
      <w:tabs>
        <w:tab w:val="left" w:pos="142"/>
      </w:tabs>
      <w:spacing w:before="360" w:after="120"/>
    </w:pPr>
    <w:rPr>
      <w:b/>
    </w:rPr>
  </w:style>
  <w:style w:type="paragraph" w:styleId="Verzeichnis2">
    <w:name w:val="toc 2"/>
    <w:basedOn w:val="Standard"/>
    <w:next w:val="Standard"/>
    <w:semiHidden/>
    <w:pPr>
      <w:ind w:left="160"/>
    </w:pPr>
  </w:style>
  <w:style w:type="paragraph" w:styleId="Verzeichnis3">
    <w:name w:val="toc 3"/>
    <w:basedOn w:val="Standard"/>
    <w:next w:val="Standard"/>
    <w:semiHidden/>
    <w:pPr>
      <w:ind w:left="320"/>
    </w:pPr>
  </w:style>
  <w:style w:type="paragraph" w:styleId="Verzeichnis4">
    <w:name w:val="toc 4"/>
    <w:basedOn w:val="Standard"/>
    <w:next w:val="Standard"/>
    <w:semiHidden/>
    <w:pPr>
      <w:ind w:left="480"/>
    </w:pPr>
  </w:style>
  <w:style w:type="paragraph" w:styleId="Verzeichnis5">
    <w:name w:val="toc 5"/>
    <w:basedOn w:val="Standard"/>
    <w:next w:val="Standard"/>
    <w:semiHidden/>
    <w:pPr>
      <w:ind w:left="640"/>
    </w:pPr>
  </w:style>
  <w:style w:type="paragraph" w:styleId="Verzeichnis6">
    <w:name w:val="toc 6"/>
    <w:basedOn w:val="Standard"/>
    <w:next w:val="Standard"/>
    <w:semiHidden/>
    <w:pPr>
      <w:ind w:left="800"/>
    </w:pPr>
  </w:style>
  <w:style w:type="paragraph" w:styleId="Verzeichnis7">
    <w:name w:val="toc 7"/>
    <w:basedOn w:val="Standard"/>
    <w:next w:val="Standard"/>
    <w:semiHidden/>
    <w:pPr>
      <w:ind w:left="960"/>
    </w:pPr>
  </w:style>
  <w:style w:type="paragraph" w:styleId="Verzeichnis8">
    <w:name w:val="toc 8"/>
    <w:basedOn w:val="Standard"/>
    <w:next w:val="Standard"/>
    <w:semiHidden/>
    <w:pPr>
      <w:ind w:left="1120"/>
    </w:pPr>
  </w:style>
  <w:style w:type="paragraph" w:styleId="Verzeichnis9">
    <w:name w:val="toc 9"/>
    <w:basedOn w:val="Standard"/>
    <w:next w:val="Standard"/>
    <w:semiHidden/>
    <w:pPr>
      <w:ind w:left="1280"/>
    </w:pPr>
  </w:style>
  <w:style w:type="character" w:styleId="Hyperlink">
    <w:name w:val="Hyperlink"/>
    <w:rPr>
      <w:rFonts w:cs="Times New Roman"/>
      <w:color w:val="0000FF"/>
      <w:u w:val="single"/>
    </w:rPr>
  </w:style>
  <w:style w:type="paragraph" w:customStyle="1" w:styleId="bertitelVSA">
    <w:name w:val="_Übertitel VSA"/>
    <w:basedOn w:val="GrundschriftVSA"/>
    <w:next w:val="GrundschriftVSA"/>
    <w:pPr>
      <w:tabs>
        <w:tab w:val="left" w:pos="7827"/>
      </w:tabs>
      <w:spacing w:before="360" w:after="60"/>
    </w:pPr>
    <w:rPr>
      <w:b/>
    </w:rPr>
  </w:style>
  <w:style w:type="paragraph" w:styleId="Aufzhlungszeichen">
    <w:name w:val="List Bullet"/>
    <w:basedOn w:val="GrundschriftVSA"/>
    <w:pPr>
      <w:spacing w:line="260" w:lineRule="exact"/>
      <w:ind w:left="142" w:hanging="142"/>
    </w:pPr>
    <w:rPr>
      <w:b/>
      <w:sz w:val="20"/>
    </w:rPr>
  </w:style>
  <w:style w:type="paragraph" w:styleId="Aufzhlungszeichen2">
    <w:name w:val="List Bullet 2"/>
    <w:basedOn w:val="GrundschriftVSA"/>
    <w:pPr>
      <w:tabs>
        <w:tab w:val="left" w:pos="425"/>
        <w:tab w:val="num" w:pos="502"/>
      </w:tabs>
      <w:spacing w:line="260" w:lineRule="exact"/>
      <w:ind w:left="644" w:hanging="360"/>
    </w:pPr>
    <w:rPr>
      <w:b/>
      <w:sz w:val="20"/>
    </w:rPr>
  </w:style>
  <w:style w:type="paragraph" w:styleId="Aufzhlungszeichen3">
    <w:name w:val="List Bullet 3"/>
    <w:basedOn w:val="GrundschriftVSA"/>
    <w:pPr>
      <w:tabs>
        <w:tab w:val="left" w:pos="567"/>
        <w:tab w:val="num" w:pos="644"/>
        <w:tab w:val="num" w:pos="785"/>
      </w:tabs>
      <w:spacing w:line="260" w:lineRule="exact"/>
      <w:ind w:left="785" w:hanging="360"/>
    </w:pPr>
    <w:rPr>
      <w:b/>
      <w:sz w:val="20"/>
    </w:rPr>
  </w:style>
  <w:style w:type="paragraph" w:styleId="Aufzhlungszeichen4">
    <w:name w:val="List Bullet 4"/>
    <w:basedOn w:val="GrundschriftVSA"/>
    <w:pPr>
      <w:tabs>
        <w:tab w:val="left" w:pos="709"/>
        <w:tab w:val="num" w:pos="785"/>
        <w:tab w:val="num" w:pos="927"/>
      </w:tabs>
      <w:spacing w:line="260" w:lineRule="exact"/>
      <w:ind w:left="927" w:hanging="360"/>
    </w:pPr>
    <w:rPr>
      <w:b/>
      <w:sz w:val="20"/>
    </w:rPr>
  </w:style>
  <w:style w:type="paragraph" w:styleId="Aufzhlungszeichen5">
    <w:name w:val="List Bullet 5"/>
    <w:basedOn w:val="GrundschriftVSA"/>
    <w:pPr>
      <w:tabs>
        <w:tab w:val="left" w:pos="851"/>
        <w:tab w:val="num" w:pos="927"/>
        <w:tab w:val="num" w:pos="1069"/>
      </w:tabs>
      <w:spacing w:line="260" w:lineRule="exact"/>
      <w:ind w:left="1069" w:hanging="360"/>
    </w:pPr>
    <w:rPr>
      <w:b/>
      <w:sz w:val="20"/>
    </w:rPr>
  </w:style>
  <w:style w:type="paragraph" w:customStyle="1" w:styleId="EinzugVSA">
    <w:name w:val="_Einzug VSA"/>
    <w:basedOn w:val="GrundschriftVSA"/>
    <w:pPr>
      <w:numPr>
        <w:numId w:val="12"/>
      </w:numPr>
      <w:tabs>
        <w:tab w:val="clear" w:pos="360"/>
        <w:tab w:val="left" w:pos="142"/>
      </w:tabs>
    </w:pPr>
  </w:style>
  <w:style w:type="paragraph" w:customStyle="1" w:styleId="EinzugVSA1">
    <w:name w:val="_Einzug VSA 1"/>
    <w:basedOn w:val="GrundschriftVSA"/>
    <w:pPr>
      <w:numPr>
        <w:numId w:val="13"/>
      </w:numPr>
      <w:tabs>
        <w:tab w:val="left" w:pos="284"/>
      </w:tabs>
    </w:pPr>
  </w:style>
  <w:style w:type="paragraph" w:customStyle="1" w:styleId="EinzugVSA2">
    <w:name w:val="_Einzug VSA 2"/>
    <w:basedOn w:val="GrundschriftVSA"/>
    <w:pPr>
      <w:numPr>
        <w:numId w:val="14"/>
      </w:numPr>
      <w:tabs>
        <w:tab w:val="left" w:pos="425"/>
      </w:tabs>
    </w:pPr>
  </w:style>
  <w:style w:type="paragraph" w:customStyle="1" w:styleId="EinzugVSA3">
    <w:name w:val="_Einzug VSA 3"/>
    <w:basedOn w:val="GrundschriftVSA"/>
    <w:pPr>
      <w:numPr>
        <w:numId w:val="15"/>
      </w:numPr>
      <w:tabs>
        <w:tab w:val="clear" w:pos="785"/>
        <w:tab w:val="left" w:pos="567"/>
        <w:tab w:val="left" w:pos="788"/>
      </w:tabs>
    </w:pPr>
  </w:style>
  <w:style w:type="paragraph" w:customStyle="1" w:styleId="EinzugVSA4">
    <w:name w:val="_Einzug VSA 4"/>
    <w:basedOn w:val="GrundschriftVSA"/>
    <w:pPr>
      <w:numPr>
        <w:numId w:val="16"/>
      </w:numPr>
      <w:tabs>
        <w:tab w:val="clear" w:pos="927"/>
        <w:tab w:val="left" w:pos="709"/>
        <w:tab w:val="left" w:pos="930"/>
      </w:tabs>
    </w:pPr>
  </w:style>
  <w:style w:type="paragraph" w:customStyle="1" w:styleId="HinweisVSA">
    <w:name w:val="Hinweis VSA"/>
    <w:basedOn w:val="GrundschriftVSA"/>
    <w:pPr>
      <w:widowControl w:val="0"/>
      <w:spacing w:line="200" w:lineRule="exact"/>
    </w:pPr>
    <w:rPr>
      <w:b/>
      <w:spacing w:val="0"/>
      <w:sz w:val="16"/>
    </w:rPr>
  </w:style>
  <w:style w:type="paragraph" w:customStyle="1" w:styleId="ErklrungVSA">
    <w:name w:val="_Erklärung VSA"/>
    <w:basedOn w:val="HinweisVSA"/>
    <w:next w:val="GrundschriftVSA"/>
    <w:pPr>
      <w:pBdr>
        <w:top w:val="single" w:sz="4" w:space="1" w:color="auto"/>
        <w:bottom w:val="single" w:sz="4" w:space="1" w:color="auto"/>
      </w:pBdr>
    </w:pPr>
  </w:style>
  <w:style w:type="paragraph" w:customStyle="1" w:styleId="TitelVSA">
    <w:name w:val="_Titel VSA"/>
    <w:basedOn w:val="GrundschriftVSA"/>
    <w:next w:val="GrundschriftVSA"/>
    <w:pPr>
      <w:spacing w:before="240" w:after="60"/>
    </w:pPr>
    <w:rPr>
      <w:u w:val="single"/>
    </w:rPr>
  </w:style>
  <w:style w:type="paragraph" w:customStyle="1" w:styleId="UntertitelVSA">
    <w:name w:val="_Untertitel VSA"/>
    <w:basedOn w:val="GrundschriftVSA"/>
    <w:next w:val="GrundschriftVSA"/>
    <w:pPr>
      <w:spacing w:before="180" w:after="60"/>
    </w:pPr>
    <w:rPr>
      <w:u w:val="dotted"/>
    </w:rPr>
  </w:style>
  <w:style w:type="paragraph" w:customStyle="1" w:styleId="EinzugNR">
    <w:name w:val="_Einzug NR"/>
    <w:basedOn w:val="GrundschriftVSA"/>
    <w:autoRedefine/>
    <w:pPr>
      <w:widowControl w:val="0"/>
      <w:tabs>
        <w:tab w:val="left" w:pos="142"/>
      </w:tabs>
      <w:spacing w:line="260" w:lineRule="exact"/>
    </w:pPr>
    <w:rPr>
      <w:b/>
      <w:spacing w:val="0"/>
      <w:sz w:val="20"/>
    </w:rPr>
  </w:style>
  <w:style w:type="paragraph" w:customStyle="1" w:styleId="EinzugNR1">
    <w:name w:val="_Einzug NR 1"/>
    <w:basedOn w:val="GrundschriftVSA"/>
    <w:pPr>
      <w:numPr>
        <w:numId w:val="22"/>
      </w:numPr>
      <w:tabs>
        <w:tab w:val="clear" w:pos="360"/>
        <w:tab w:val="left" w:pos="284"/>
        <w:tab w:val="left" w:pos="505"/>
        <w:tab w:val="num" w:pos="567"/>
      </w:tabs>
      <w:spacing w:line="260" w:lineRule="atLeast"/>
      <w:ind w:left="567" w:hanging="567"/>
    </w:pPr>
  </w:style>
  <w:style w:type="paragraph" w:customStyle="1" w:styleId="EinzugNR2">
    <w:name w:val="_Einzug NR 2"/>
    <w:basedOn w:val="GrundschriftVSA"/>
    <w:pPr>
      <w:numPr>
        <w:numId w:val="23"/>
      </w:numPr>
      <w:tabs>
        <w:tab w:val="left" w:pos="425"/>
      </w:tabs>
    </w:pPr>
  </w:style>
  <w:style w:type="paragraph" w:customStyle="1" w:styleId="EinzugNR3">
    <w:name w:val="_Einzug NR 3"/>
    <w:basedOn w:val="GrundschriftVSA"/>
    <w:pPr>
      <w:numPr>
        <w:numId w:val="24"/>
      </w:numPr>
      <w:tabs>
        <w:tab w:val="clear" w:pos="785"/>
        <w:tab w:val="left" w:pos="567"/>
        <w:tab w:val="num" w:pos="1021"/>
      </w:tabs>
      <w:spacing w:line="260" w:lineRule="atLeast"/>
      <w:ind w:left="1021" w:hanging="596"/>
    </w:pPr>
  </w:style>
  <w:style w:type="paragraph" w:customStyle="1" w:styleId="EinzugNR4">
    <w:name w:val="_Einzug NR 4"/>
    <w:basedOn w:val="GrundschriftVSA"/>
    <w:next w:val="EinzugVSA4"/>
    <w:pPr>
      <w:numPr>
        <w:numId w:val="25"/>
      </w:numPr>
      <w:tabs>
        <w:tab w:val="clear" w:pos="1069"/>
        <w:tab w:val="left" w:pos="930"/>
        <w:tab w:val="num" w:pos="1304"/>
      </w:tabs>
      <w:spacing w:line="260" w:lineRule="atLeast"/>
      <w:ind w:left="1304" w:hanging="595"/>
    </w:pPr>
  </w:style>
  <w:style w:type="paragraph" w:customStyle="1" w:styleId="FusszeileVSA">
    <w:name w:val="_Fusszeile VSA"/>
    <w:basedOn w:val="GrundschriftVSA"/>
    <w:pPr>
      <w:spacing w:line="200" w:lineRule="exact"/>
    </w:pPr>
    <w:rPr>
      <w:sz w:val="17"/>
    </w:rPr>
  </w:style>
  <w:style w:type="character" w:styleId="BesuchterLink">
    <w:name w:val="FollowedHyperlink"/>
    <w:rPr>
      <w:rFonts w:cs="Times New Roman"/>
      <w:color w:val="800080"/>
      <w:u w:val="single"/>
    </w:rPr>
  </w:style>
  <w:style w:type="paragraph" w:customStyle="1" w:styleId="GrundschriftFettVSA">
    <w:name w:val="_Grundschrift Fett VSA"/>
    <w:basedOn w:val="GrundschriftVSA"/>
    <w:next w:val="GrundschriftVSA"/>
    <w:rPr>
      <w:b/>
    </w:rPr>
  </w:style>
  <w:style w:type="paragraph" w:customStyle="1" w:styleId="GrundschriftKursivVSA">
    <w:name w:val="_Grundschrift Kursiv VSA"/>
    <w:basedOn w:val="GrundschriftVSA"/>
    <w:next w:val="GrundschriftVSA"/>
    <w:rPr>
      <w:i/>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semiHidden/>
    <w:locked/>
    <w:rPr>
      <w:rFonts w:ascii="Arial" w:hAnsi="Arial" w:cs="Times New Roman"/>
      <w:b/>
      <w:spacing w:val="2"/>
      <w:sz w:val="22"/>
      <w:lang w:val="x-none" w:eastAsia="de-DE"/>
    </w:rPr>
  </w:style>
  <w:style w:type="paragraph" w:customStyle="1" w:styleId="TxBrt2">
    <w:name w:val="TxBr_t2"/>
    <w:basedOn w:val="Standard"/>
    <w:pPr>
      <w:autoSpaceDE w:val="0"/>
      <w:autoSpaceDN w:val="0"/>
      <w:adjustRightInd w:val="0"/>
      <w:spacing w:line="240" w:lineRule="atLeast"/>
    </w:pPr>
    <w:rPr>
      <w:rFonts w:ascii="Times New Roman" w:hAnsi="Times New Roman"/>
      <w:b w:val="0"/>
      <w:spacing w:val="0"/>
      <w:sz w:val="24"/>
      <w:szCs w:val="24"/>
      <w:lang w:val="en-US"/>
    </w:rPr>
  </w:style>
  <w:style w:type="paragraph" w:customStyle="1" w:styleId="TxBrp4">
    <w:name w:val="TxBr_p4"/>
    <w:basedOn w:val="Standard"/>
    <w:pPr>
      <w:tabs>
        <w:tab w:val="left" w:pos="204"/>
      </w:tabs>
      <w:autoSpaceDE w:val="0"/>
      <w:autoSpaceDN w:val="0"/>
      <w:adjustRightInd w:val="0"/>
      <w:spacing w:line="240" w:lineRule="atLeast"/>
      <w:jc w:val="both"/>
    </w:pPr>
    <w:rPr>
      <w:rFonts w:ascii="Times New Roman" w:hAnsi="Times New Roman"/>
      <w:b w:val="0"/>
      <w:spacing w:val="0"/>
      <w:sz w:val="24"/>
      <w:szCs w:val="24"/>
      <w:lang w:val="en-US"/>
    </w:rPr>
  </w:style>
  <w:style w:type="paragraph" w:customStyle="1" w:styleId="TxBrp6">
    <w:name w:val="TxBr_p6"/>
    <w:basedOn w:val="Standard"/>
    <w:pPr>
      <w:tabs>
        <w:tab w:val="left" w:pos="306"/>
      </w:tabs>
      <w:autoSpaceDE w:val="0"/>
      <w:autoSpaceDN w:val="0"/>
      <w:adjustRightInd w:val="0"/>
      <w:spacing w:line="240" w:lineRule="atLeast"/>
      <w:ind w:left="1287" w:hanging="306"/>
      <w:jc w:val="both"/>
    </w:pPr>
    <w:rPr>
      <w:rFonts w:ascii="Times New Roman" w:hAnsi="Times New Roman"/>
      <w:b w:val="0"/>
      <w:spacing w:val="0"/>
      <w:sz w:val="24"/>
      <w:szCs w:val="24"/>
      <w:lang w:val="en-US"/>
    </w:rPr>
  </w:style>
  <w:style w:type="paragraph" w:customStyle="1" w:styleId="TxBrp7">
    <w:name w:val="TxBr_p7"/>
    <w:basedOn w:val="Standard"/>
    <w:pPr>
      <w:autoSpaceDE w:val="0"/>
      <w:autoSpaceDN w:val="0"/>
      <w:adjustRightInd w:val="0"/>
      <w:spacing w:line="240" w:lineRule="atLeast"/>
      <w:jc w:val="both"/>
    </w:pPr>
    <w:rPr>
      <w:rFonts w:ascii="Times New Roman" w:hAnsi="Times New Roman"/>
      <w:b w:val="0"/>
      <w:spacing w:val="0"/>
      <w:sz w:val="24"/>
      <w:szCs w:val="24"/>
      <w:lang w:val="en-US"/>
    </w:rPr>
  </w:style>
  <w:style w:type="paragraph" w:customStyle="1" w:styleId="TxBrp8">
    <w:name w:val="TxBr_p8"/>
    <w:basedOn w:val="Standard"/>
    <w:pPr>
      <w:autoSpaceDE w:val="0"/>
      <w:autoSpaceDN w:val="0"/>
      <w:adjustRightInd w:val="0"/>
      <w:spacing w:line="240" w:lineRule="atLeast"/>
      <w:ind w:left="1299" w:hanging="294"/>
      <w:jc w:val="both"/>
    </w:pPr>
    <w:rPr>
      <w:rFonts w:ascii="Times New Roman" w:hAnsi="Times New Roman"/>
      <w:b w:val="0"/>
      <w:spacing w:val="0"/>
      <w:sz w:val="24"/>
      <w:szCs w:val="24"/>
      <w:lang w:val="en-US"/>
    </w:rPr>
  </w:style>
  <w:style w:type="paragraph" w:customStyle="1" w:styleId="TxBrp9">
    <w:name w:val="TxBr_p9"/>
    <w:basedOn w:val="Standard"/>
    <w:pPr>
      <w:tabs>
        <w:tab w:val="left" w:pos="300"/>
      </w:tabs>
      <w:autoSpaceDE w:val="0"/>
      <w:autoSpaceDN w:val="0"/>
      <w:adjustRightInd w:val="0"/>
      <w:spacing w:line="249" w:lineRule="atLeast"/>
      <w:ind w:left="1293" w:hanging="300"/>
      <w:jc w:val="both"/>
    </w:pPr>
    <w:rPr>
      <w:rFonts w:ascii="Times New Roman" w:hAnsi="Times New Roman"/>
      <w:b w:val="0"/>
      <w:spacing w:val="0"/>
      <w:sz w:val="24"/>
      <w:szCs w:val="24"/>
      <w:lang w:val="en-US"/>
    </w:rPr>
  </w:style>
  <w:style w:type="paragraph" w:customStyle="1" w:styleId="TxBrt10">
    <w:name w:val="TxBr_t10"/>
    <w:basedOn w:val="Standard"/>
    <w:pPr>
      <w:autoSpaceDE w:val="0"/>
      <w:autoSpaceDN w:val="0"/>
      <w:adjustRightInd w:val="0"/>
      <w:spacing w:line="240" w:lineRule="atLeast"/>
    </w:pPr>
    <w:rPr>
      <w:rFonts w:ascii="Times New Roman" w:hAnsi="Times New Roman"/>
      <w:b w:val="0"/>
      <w:spacing w:val="0"/>
      <w:sz w:val="24"/>
      <w:szCs w:val="24"/>
      <w:lang w:val="en-US"/>
    </w:rPr>
  </w:style>
  <w:style w:type="paragraph" w:customStyle="1" w:styleId="TxBrt11">
    <w:name w:val="TxBr_t11"/>
    <w:basedOn w:val="Standard"/>
    <w:pPr>
      <w:autoSpaceDE w:val="0"/>
      <w:autoSpaceDN w:val="0"/>
      <w:adjustRightInd w:val="0"/>
      <w:spacing w:line="240" w:lineRule="atLeast"/>
    </w:pPr>
    <w:rPr>
      <w:rFonts w:ascii="Times New Roman" w:hAnsi="Times New Roman"/>
      <w:b w:val="0"/>
      <w:spacing w:val="0"/>
      <w:sz w:val="24"/>
      <w:szCs w:val="24"/>
      <w:lang w:val="en-US"/>
    </w:rPr>
  </w:style>
  <w:style w:type="paragraph" w:customStyle="1" w:styleId="TxBrp12">
    <w:name w:val="TxBr_p12"/>
    <w:basedOn w:val="Standard"/>
    <w:pPr>
      <w:autoSpaceDE w:val="0"/>
      <w:autoSpaceDN w:val="0"/>
      <w:adjustRightInd w:val="0"/>
      <w:spacing w:line="249" w:lineRule="atLeast"/>
    </w:pPr>
    <w:rPr>
      <w:rFonts w:ascii="Times New Roman" w:hAnsi="Times New Roman"/>
      <w:b w:val="0"/>
      <w:spacing w:val="0"/>
      <w:sz w:val="24"/>
      <w:szCs w:val="24"/>
      <w:lang w:val="en-US"/>
    </w:rPr>
  </w:style>
  <w:style w:type="paragraph" w:customStyle="1" w:styleId="TxBrp13">
    <w:name w:val="TxBr_p13"/>
    <w:basedOn w:val="Standard"/>
    <w:pPr>
      <w:autoSpaceDE w:val="0"/>
      <w:autoSpaceDN w:val="0"/>
      <w:adjustRightInd w:val="0"/>
      <w:spacing w:line="240" w:lineRule="atLeast"/>
      <w:ind w:left="1293"/>
    </w:pPr>
    <w:rPr>
      <w:rFonts w:ascii="Times New Roman" w:hAnsi="Times New Roman"/>
      <w:b w:val="0"/>
      <w:spacing w:val="0"/>
      <w:sz w:val="24"/>
      <w:szCs w:val="24"/>
      <w:lang w:val="en-US"/>
    </w:rPr>
  </w:style>
  <w:style w:type="paragraph" w:customStyle="1" w:styleId="TxBrp14">
    <w:name w:val="TxBr_p14"/>
    <w:basedOn w:val="Standard"/>
    <w:pPr>
      <w:autoSpaceDE w:val="0"/>
      <w:autoSpaceDN w:val="0"/>
      <w:adjustRightInd w:val="0"/>
      <w:spacing w:line="249" w:lineRule="atLeast"/>
      <w:ind w:left="1293" w:hanging="300"/>
    </w:pPr>
    <w:rPr>
      <w:rFonts w:ascii="Times New Roman" w:hAnsi="Times New Roman"/>
      <w:b w:val="0"/>
      <w:spacing w:val="0"/>
      <w:sz w:val="24"/>
      <w:szCs w:val="24"/>
      <w:lang w:val="en-US"/>
    </w:rPr>
  </w:style>
  <w:style w:type="paragraph" w:customStyle="1" w:styleId="TxBrp15">
    <w:name w:val="TxBr_p15"/>
    <w:basedOn w:val="Standard"/>
    <w:pPr>
      <w:autoSpaceDE w:val="0"/>
      <w:autoSpaceDN w:val="0"/>
      <w:adjustRightInd w:val="0"/>
      <w:spacing w:line="240" w:lineRule="atLeast"/>
      <w:ind w:left="1299" w:hanging="294"/>
    </w:pPr>
    <w:rPr>
      <w:rFonts w:ascii="Times New Roman" w:hAnsi="Times New Roman"/>
      <w:b w:val="0"/>
      <w:spacing w:val="0"/>
      <w:sz w:val="24"/>
      <w:szCs w:val="24"/>
      <w:lang w:val="en-US"/>
    </w:rPr>
  </w:style>
  <w:style w:type="paragraph" w:customStyle="1" w:styleId="TxBrt16">
    <w:name w:val="TxBr_t16"/>
    <w:basedOn w:val="Standard"/>
    <w:pPr>
      <w:autoSpaceDE w:val="0"/>
      <w:autoSpaceDN w:val="0"/>
      <w:adjustRightInd w:val="0"/>
      <w:spacing w:line="249" w:lineRule="atLeast"/>
    </w:pPr>
    <w:rPr>
      <w:rFonts w:ascii="Times New Roman" w:hAnsi="Times New Roman"/>
      <w:b w:val="0"/>
      <w:spacing w:val="0"/>
      <w:sz w:val="24"/>
      <w:szCs w:val="24"/>
      <w:lang w:val="en-US"/>
    </w:rPr>
  </w:style>
  <w:style w:type="paragraph" w:customStyle="1" w:styleId="TxBrp18">
    <w:name w:val="TxBr_p18"/>
    <w:basedOn w:val="Standard"/>
    <w:pPr>
      <w:tabs>
        <w:tab w:val="left" w:pos="7165"/>
      </w:tabs>
      <w:autoSpaceDE w:val="0"/>
      <w:autoSpaceDN w:val="0"/>
      <w:adjustRightInd w:val="0"/>
      <w:spacing w:line="240" w:lineRule="atLeast"/>
      <w:ind w:left="5573" w:hanging="7165"/>
    </w:pPr>
    <w:rPr>
      <w:rFonts w:ascii="Times New Roman" w:hAnsi="Times New Roman"/>
      <w:b w:val="0"/>
      <w:spacing w:val="0"/>
      <w:sz w:val="24"/>
      <w:szCs w:val="24"/>
      <w:lang w:val="en-US"/>
    </w:rPr>
  </w:style>
  <w:style w:type="character" w:customStyle="1" w:styleId="GrundschriftVSAZchn">
    <w:name w:val="_Grundschrift VSA Zchn"/>
    <w:link w:val="GrundschriftVSA"/>
    <w:locked/>
    <w:rPr>
      <w:rFonts w:ascii="Arial" w:hAnsi="Arial" w:cs="Times New Roman"/>
      <w:spacing w:val="2"/>
      <w:sz w:val="22"/>
      <w:lang w:val="de-CH" w:eastAsia="de-DE" w:bidi="ar-SA"/>
    </w:rPr>
  </w:style>
  <w:style w:type="character" w:customStyle="1" w:styleId="TraktandumVSAZchn">
    <w:name w:val="_Traktandum VSA Zchn"/>
    <w:link w:val="TraktandumVSA"/>
    <w:locked/>
    <w:rPr>
      <w:rFonts w:ascii="Arial" w:hAnsi="Arial" w:cs="Times New Roman"/>
      <w:b/>
      <w:spacing w:val="2"/>
      <w:sz w:val="22"/>
      <w:lang w:val="de-CH"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locked/>
    <w:rPr>
      <w:rFonts w:ascii="Times New Roman" w:hAnsi="Times New Roman" w:cs="Times New Roman"/>
      <w:b/>
      <w:spacing w:val="2"/>
      <w:sz w:val="2"/>
      <w:lang w:val="x-none" w:eastAsia="de-DE"/>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b/>
      <w:spacing w:val="2"/>
      <w:lang w:eastAsia="de-DE"/>
    </w:rPr>
  </w:style>
  <w:style w:type="paragraph" w:styleId="Kommentarthema">
    <w:name w:val="annotation subject"/>
    <w:basedOn w:val="Kommentartext"/>
    <w:next w:val="Kommentartext"/>
    <w:link w:val="KommentarthemaZchn"/>
    <w:rPr>
      <w:bCs/>
    </w:rPr>
  </w:style>
  <w:style w:type="character" w:customStyle="1" w:styleId="KommentarthemaZchn">
    <w:name w:val="Kommentarthema Zchn"/>
    <w:basedOn w:val="KommentartextZchn"/>
    <w:link w:val="Kommentarthema"/>
    <w:rPr>
      <w:rFonts w:ascii="Arial" w:hAnsi="Arial"/>
      <w:b/>
      <w:bCs/>
      <w:spacing w:val="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252RBR\Lokale%20Einstellungen\Temporary%20Internet%20Files\Content.MSO\F290D03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EB33D620-E752-4734-B614-37D4E5A564EB}"/>
      </w:docPartPr>
      <w:docPartBody>
        <w:p>
          <w:r>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D257A81E-CF57-414F-B942-E8068E2B4CAF}"/>
      </w:docPartPr>
      <w:docPartBody>
        <w:p>
          <w:pPr>
            <w:pStyle w:val="DefaultPlaceholder1081868575"/>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efaultPlaceholder1081868575">
    <w:name w:val="DefaultPlaceholder_1081868575"/>
    <w:pPr>
      <w:spacing w:after="0" w:line="280" w:lineRule="atLeast"/>
    </w:pPr>
    <w:rPr>
      <w:rFonts w:ascii="Arial" w:eastAsia="Times New Roman" w:hAnsi="Arial" w:cs="Times New Roman"/>
      <w:spacing w:val="2"/>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552B-E937-4BF9-B010-DDF9D30C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F290D032.dot</Template>
  <TotalTime>0</TotalTime>
  <Pages>4</Pages>
  <Words>1123</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Zürich, 8</vt:lpstr>
    </vt:vector>
  </TitlesOfParts>
  <Company>raschle &amp; kranz</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8</dc:title>
  <dc:subject/>
  <dc:creator>B252ror</dc:creator>
  <cp:keywords/>
  <dc:description/>
  <cp:lastModifiedBy>Sabrina Stöckli</cp:lastModifiedBy>
  <cp:revision>6</cp:revision>
  <cp:lastPrinted>2015-06-16T08:58:00Z</cp:lastPrinted>
  <dcterms:created xsi:type="dcterms:W3CDTF">2023-08-31T07:02:00Z</dcterms:created>
  <dcterms:modified xsi:type="dcterms:W3CDTF">2023-09-05T14:41:00Z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name">
    <vt:lpwstr>Herbert</vt:lpwstr>
  </property>
</Properties>
</file>