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40119" w14:textId="77777777" w:rsidR="005E5D65" w:rsidRPr="00A42F0A" w:rsidRDefault="005E5D65" w:rsidP="005E5D65">
      <w:pPr>
        <w:rPr>
          <w:b/>
          <w:sz w:val="32"/>
          <w:szCs w:val="32"/>
        </w:rPr>
      </w:pPr>
      <w:r w:rsidRPr="00A42F0A">
        <w:rPr>
          <w:b/>
          <w:sz w:val="32"/>
          <w:szCs w:val="32"/>
        </w:rPr>
        <w:t xml:space="preserve">Vernehmlassung der </w:t>
      </w:r>
      <w:bookmarkStart w:id="0" w:name="_Hlk118801275"/>
      <w:r w:rsidRPr="00A42F0A">
        <w:rPr>
          <w:b/>
          <w:sz w:val="32"/>
          <w:szCs w:val="32"/>
        </w:rPr>
        <w:t xml:space="preserve">Verordnungsentwürfe zu den </w:t>
      </w:r>
      <w:r>
        <w:rPr>
          <w:b/>
          <w:sz w:val="32"/>
          <w:szCs w:val="32"/>
        </w:rPr>
        <w:t xml:space="preserve">Verwendungsbeschränkungen und </w:t>
      </w:r>
      <w:r w:rsidRPr="00A42F0A">
        <w:rPr>
          <w:b/>
          <w:sz w:val="32"/>
          <w:szCs w:val="32"/>
        </w:rPr>
        <w:t>Verboten, zur Sofortkontingentierung, zur Kontingentierung</w:t>
      </w:r>
      <w:r>
        <w:rPr>
          <w:b/>
          <w:sz w:val="32"/>
          <w:szCs w:val="32"/>
        </w:rPr>
        <w:t xml:space="preserve">, </w:t>
      </w:r>
      <w:r w:rsidRPr="00A42F0A">
        <w:rPr>
          <w:b/>
          <w:sz w:val="32"/>
          <w:szCs w:val="32"/>
        </w:rPr>
        <w:t>zur Netzabschaltung im Bereich Strom</w:t>
      </w:r>
      <w:bookmarkEnd w:id="0"/>
      <w:r>
        <w:rPr>
          <w:b/>
          <w:sz w:val="32"/>
          <w:szCs w:val="32"/>
        </w:rPr>
        <w:t xml:space="preserve"> sowie zur Änderung einer Bestimmung des Landesversorgungsgesetzes</w:t>
      </w:r>
    </w:p>
    <w:p w14:paraId="3E7B1D8F" w14:textId="77777777" w:rsidR="005E5D65" w:rsidRPr="00D243BA" w:rsidRDefault="005E5D65" w:rsidP="005E5D65">
      <w:pPr>
        <w:rPr>
          <w:rFonts w:cs="Arial"/>
          <w:b/>
          <w:bCs/>
          <w:sz w:val="32"/>
          <w:szCs w:val="32"/>
          <w:lang w:val="fr-CH"/>
        </w:rPr>
      </w:pPr>
      <w:r w:rsidRPr="00A42F0A">
        <w:rPr>
          <w:b/>
          <w:sz w:val="32"/>
          <w:szCs w:val="32"/>
          <w:lang w:val="fr-CH"/>
        </w:rPr>
        <w:t xml:space="preserve">Procédure de consultation sur les </w:t>
      </w:r>
      <w:r w:rsidRPr="00D243BA">
        <w:rPr>
          <w:b/>
          <w:sz w:val="32"/>
          <w:szCs w:val="32"/>
          <w:lang w:val="fr-CH"/>
        </w:rPr>
        <w:t xml:space="preserve">projets d’ordonnance sur les restrictions et interdictions d’utilisation, le contingentement </w:t>
      </w:r>
      <w:r>
        <w:rPr>
          <w:b/>
          <w:sz w:val="32"/>
          <w:szCs w:val="32"/>
          <w:lang w:val="fr-CH"/>
        </w:rPr>
        <w:t xml:space="preserve">et contingentement </w:t>
      </w:r>
      <w:r w:rsidRPr="00D243BA">
        <w:rPr>
          <w:b/>
          <w:sz w:val="32"/>
          <w:szCs w:val="32"/>
          <w:lang w:val="fr-CH"/>
        </w:rPr>
        <w:t>immédiat de l’énergie électrique</w:t>
      </w:r>
      <w:r>
        <w:rPr>
          <w:b/>
          <w:sz w:val="32"/>
          <w:szCs w:val="32"/>
          <w:lang w:val="fr-CH"/>
        </w:rPr>
        <w:t xml:space="preserve">, </w:t>
      </w:r>
      <w:r w:rsidRPr="00D243BA">
        <w:rPr>
          <w:b/>
          <w:sz w:val="32"/>
          <w:szCs w:val="32"/>
          <w:lang w:val="fr-CH"/>
        </w:rPr>
        <w:t>sur le délestage du réseau électrique</w:t>
      </w:r>
      <w:r w:rsidRPr="00017100">
        <w:rPr>
          <w:b/>
          <w:sz w:val="32"/>
          <w:szCs w:val="32"/>
          <w:lang w:val="fr-CH"/>
        </w:rPr>
        <w:t xml:space="preserve"> </w:t>
      </w:r>
      <w:r w:rsidRPr="00D243BA">
        <w:rPr>
          <w:b/>
          <w:sz w:val="32"/>
          <w:szCs w:val="32"/>
          <w:lang w:val="fr-CH"/>
        </w:rPr>
        <w:t>ainsi que</w:t>
      </w:r>
      <w:r>
        <w:rPr>
          <w:b/>
          <w:sz w:val="32"/>
          <w:szCs w:val="32"/>
          <w:lang w:val="fr-CH"/>
        </w:rPr>
        <w:t xml:space="preserve"> sur la modification d’une disposition de la loi sur l’approvisionnement du pays</w:t>
      </w:r>
    </w:p>
    <w:p w14:paraId="1429CBFF" w14:textId="77777777" w:rsidR="005E5D65" w:rsidRPr="00953275" w:rsidRDefault="005E5D65" w:rsidP="005E5D65">
      <w:pPr>
        <w:rPr>
          <w:b/>
          <w:sz w:val="32"/>
          <w:szCs w:val="32"/>
          <w:lang w:val="it-CH"/>
        </w:rPr>
      </w:pPr>
      <w:r w:rsidRPr="005B6CC5">
        <w:rPr>
          <w:b/>
          <w:sz w:val="32"/>
          <w:szCs w:val="32"/>
          <w:lang w:val="it-CH"/>
        </w:rPr>
        <w:t>Procedura di consultazione sui progetti di ordinanza concernente limitazioni e divieti di utilizzo, sul contingentamento e contingentamento immediato dell’energia elettrica</w:t>
      </w:r>
      <w:r>
        <w:rPr>
          <w:b/>
          <w:sz w:val="32"/>
          <w:szCs w:val="32"/>
          <w:lang w:val="it-CH"/>
        </w:rPr>
        <w:t>,</w:t>
      </w:r>
      <w:r w:rsidRPr="005B6CC5">
        <w:rPr>
          <w:b/>
          <w:sz w:val="32"/>
          <w:szCs w:val="32"/>
          <w:lang w:val="it-CH"/>
        </w:rPr>
        <w:t xml:space="preserve"> sul disinserimento di reti elettriche</w:t>
      </w:r>
      <w:r>
        <w:rPr>
          <w:b/>
          <w:sz w:val="32"/>
          <w:szCs w:val="32"/>
          <w:lang w:val="it-CH"/>
        </w:rPr>
        <w:t xml:space="preserve"> e concernente la modifica di una disposizione della legge sull’approvvigionamento del Paese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6"/>
        <w:gridCol w:w="8692"/>
      </w:tblGrid>
      <w:tr w:rsidR="005E5D65" w14:paraId="21861292" w14:textId="77777777" w:rsidTr="00600255">
        <w:trPr>
          <w:trHeight w:val="1134"/>
        </w:trPr>
        <w:tc>
          <w:tcPr>
            <w:tcW w:w="5306" w:type="dxa"/>
            <w:shd w:val="pct15" w:color="auto" w:fill="auto"/>
          </w:tcPr>
          <w:p w14:paraId="2283AF55" w14:textId="77777777" w:rsidR="005E5D65" w:rsidRDefault="005E5D65" w:rsidP="00600255">
            <w:pPr>
              <w:rPr>
                <w:lang w:val="it-CH"/>
              </w:rPr>
            </w:pPr>
            <w:r>
              <w:t>Organisation / Organizzazione</w:t>
            </w:r>
          </w:p>
        </w:tc>
        <w:tc>
          <w:tcPr>
            <w:tcW w:w="8692" w:type="dxa"/>
          </w:tcPr>
          <w:p w14:paraId="30EA2479" w14:textId="77777777" w:rsidR="005E5D65" w:rsidRPr="00EF6CD2" w:rsidRDefault="005E5D65" w:rsidP="00600255">
            <w:pPr>
              <w:rPr>
                <w:i/>
                <w:iCs/>
              </w:rPr>
            </w:pPr>
            <w:r>
              <w:t>Kanton Zürich</w:t>
            </w:r>
            <w:r>
              <w:br/>
              <w:t>Regierungsrat</w:t>
            </w:r>
          </w:p>
        </w:tc>
      </w:tr>
      <w:tr w:rsidR="005E5D65" w14:paraId="494E8216" w14:textId="77777777" w:rsidTr="00600255">
        <w:trPr>
          <w:trHeight w:val="1134"/>
        </w:trPr>
        <w:tc>
          <w:tcPr>
            <w:tcW w:w="5306" w:type="dxa"/>
            <w:shd w:val="pct15" w:color="auto" w:fill="auto"/>
          </w:tcPr>
          <w:p w14:paraId="2F8331FF" w14:textId="77777777" w:rsidR="005E5D65" w:rsidRDefault="005E5D65" w:rsidP="00600255">
            <w:r>
              <w:t>Adresse / Indirizzo</w:t>
            </w:r>
          </w:p>
        </w:tc>
        <w:tc>
          <w:tcPr>
            <w:tcW w:w="8692" w:type="dxa"/>
          </w:tcPr>
          <w:p w14:paraId="5721DE00" w14:textId="77777777" w:rsidR="005E5D65" w:rsidRDefault="005E5D65" w:rsidP="00600255">
            <w:r>
              <w:t>Postfach</w:t>
            </w:r>
            <w:r>
              <w:br/>
              <w:t>8090 Zürich</w:t>
            </w:r>
          </w:p>
        </w:tc>
      </w:tr>
      <w:tr w:rsidR="005E5D65" w14:paraId="2B70B0A1" w14:textId="77777777" w:rsidTr="00600255">
        <w:trPr>
          <w:trHeight w:val="1134"/>
        </w:trPr>
        <w:tc>
          <w:tcPr>
            <w:tcW w:w="5306" w:type="dxa"/>
            <w:shd w:val="pct15" w:color="auto" w:fill="auto"/>
          </w:tcPr>
          <w:p w14:paraId="63E168E5" w14:textId="77777777" w:rsidR="005E5D65" w:rsidRDefault="005E5D65" w:rsidP="00600255">
            <w:r>
              <w:t>Datum, Unterschrift / Date et signature / Data e firma</w:t>
            </w:r>
          </w:p>
        </w:tc>
        <w:tc>
          <w:tcPr>
            <w:tcW w:w="8692" w:type="dxa"/>
          </w:tcPr>
          <w:p w14:paraId="59821067" w14:textId="77777777" w:rsidR="005E5D65" w:rsidRDefault="005E5D65" w:rsidP="00600255">
            <w:r>
              <w:t>14. Dezember 2022:</w:t>
            </w:r>
          </w:p>
          <w:p w14:paraId="6DBC18E1" w14:textId="77777777" w:rsidR="005E5D65" w:rsidRDefault="005E5D65" w:rsidP="00600255">
            <w:r>
              <w:tab/>
            </w:r>
          </w:p>
          <w:p w14:paraId="64136B4B" w14:textId="77777777" w:rsidR="005E5D65" w:rsidRDefault="005E5D65" w:rsidP="00600255">
            <w:r>
              <w:tab/>
            </w:r>
          </w:p>
          <w:p w14:paraId="58080A51" w14:textId="77777777" w:rsidR="005E5D65" w:rsidRDefault="005E5D65" w:rsidP="00600255">
            <w:pPr>
              <w:tabs>
                <w:tab w:val="left" w:pos="4880"/>
              </w:tabs>
              <w:spacing w:after="120"/>
            </w:pPr>
            <w:r>
              <w:tab/>
            </w:r>
          </w:p>
          <w:p w14:paraId="478098BF" w14:textId="77777777" w:rsidR="005E5D65" w:rsidRDefault="005E5D65" w:rsidP="00600255"/>
        </w:tc>
      </w:tr>
      <w:tr w:rsidR="005E5D65" w:rsidRPr="00B17726" w14:paraId="6A41801C" w14:textId="77777777" w:rsidTr="00600255">
        <w:trPr>
          <w:trHeight w:val="1134"/>
        </w:trPr>
        <w:tc>
          <w:tcPr>
            <w:tcW w:w="5306" w:type="dxa"/>
            <w:shd w:val="pct15" w:color="auto" w:fill="auto"/>
          </w:tcPr>
          <w:p w14:paraId="1D34D0C7" w14:textId="77777777" w:rsidR="005E5D65" w:rsidRPr="00B8645E" w:rsidRDefault="005E5D65" w:rsidP="00600255">
            <w:pPr>
              <w:rPr>
                <w:lang w:val="it-CH"/>
              </w:rPr>
            </w:pPr>
            <w:r>
              <w:lastRenderedPageBreak/>
              <w:br w:type="page"/>
            </w:r>
            <w:r w:rsidRPr="00B8645E">
              <w:rPr>
                <w:lang w:val="it-CH"/>
              </w:rPr>
              <w:t>Kontaktperson (Vorname, Nachname, Funktion, Emailadresse und Telefonnummer) / Personne de contact (prénom, nom, fonction, adresse e-mail et numéro de téléphone) / Persona di contatto (nome, cognome, funzione, indirizzo e-mail e numero di telefono)</w:t>
            </w:r>
          </w:p>
        </w:tc>
        <w:tc>
          <w:tcPr>
            <w:tcW w:w="8692" w:type="dxa"/>
          </w:tcPr>
          <w:p w14:paraId="0E3A364A" w14:textId="77777777" w:rsidR="005E5D65" w:rsidRPr="00B8645E" w:rsidRDefault="005E5D65" w:rsidP="00600255">
            <w:pPr>
              <w:rPr>
                <w:lang w:val="it-CH"/>
              </w:rPr>
            </w:pPr>
            <w:r>
              <w:rPr>
                <w:lang w:val="it-CH"/>
              </w:rPr>
              <w:t>Matthias Möller</w:t>
            </w:r>
            <w:r>
              <w:rPr>
                <w:lang w:val="it-CH"/>
              </w:rPr>
              <w:br/>
              <w:t>Abteilungsleiter Energie</w:t>
            </w:r>
            <w:r>
              <w:rPr>
                <w:lang w:val="it-CH"/>
              </w:rPr>
              <w:br/>
            </w:r>
            <w:hyperlink r:id="rId5" w:history="1">
              <w:r w:rsidRPr="008C5294">
                <w:rPr>
                  <w:rStyle w:val="Hyperlink"/>
                  <w:lang w:val="it-CH"/>
                </w:rPr>
                <w:t>matthias.moeller@bd.zh.ch</w:t>
              </w:r>
            </w:hyperlink>
            <w:r>
              <w:rPr>
                <w:lang w:val="it-CH"/>
              </w:rPr>
              <w:br/>
              <w:t>043 259 42 77</w:t>
            </w:r>
          </w:p>
        </w:tc>
      </w:tr>
      <w:tr w:rsidR="005E5D65" w:rsidRPr="00CC08DE" w14:paraId="1242CF74" w14:textId="77777777" w:rsidTr="00600255">
        <w:trPr>
          <w:trHeight w:val="1134"/>
        </w:trPr>
        <w:tc>
          <w:tcPr>
            <w:tcW w:w="13998" w:type="dxa"/>
            <w:gridSpan w:val="2"/>
            <w:shd w:val="clear" w:color="auto" w:fill="auto"/>
          </w:tcPr>
          <w:p w14:paraId="6DDC9A18" w14:textId="77777777" w:rsidR="005E5D65" w:rsidRPr="00CC08DE" w:rsidRDefault="005E5D65" w:rsidP="00600255">
            <w:pPr>
              <w:spacing w:after="0"/>
              <w:rPr>
                <w:bCs/>
              </w:rPr>
            </w:pPr>
            <w:r w:rsidRPr="00CC08DE">
              <w:rPr>
                <w:bCs/>
              </w:rPr>
              <w:t>Bitte senden Sie Ihre Stellungnahme elektronisch an</w:t>
            </w:r>
            <w:r w:rsidRPr="00CC08DE">
              <w:t xml:space="preserve"> </w:t>
            </w:r>
            <w:hyperlink r:id="rId6" w:history="1">
              <w:r w:rsidRPr="00CC08DE">
                <w:rPr>
                  <w:rStyle w:val="Hyperlink"/>
                </w:rPr>
                <w:t>energie@bwl.admin.ch</w:t>
              </w:r>
            </w:hyperlink>
            <w:r w:rsidRPr="00CC08DE">
              <w:rPr>
                <w:bCs/>
              </w:rPr>
              <w:t>.</w:t>
            </w:r>
          </w:p>
          <w:p w14:paraId="43108873" w14:textId="77777777" w:rsidR="005E5D65" w:rsidRPr="00CC08DE" w:rsidRDefault="005E5D65" w:rsidP="00600255">
            <w:pPr>
              <w:spacing w:after="0"/>
              <w:rPr>
                <w:bCs/>
                <w:lang w:val="fr-CH"/>
              </w:rPr>
            </w:pPr>
            <w:r w:rsidRPr="00CC08DE">
              <w:rPr>
                <w:b/>
                <w:bCs/>
              </w:rPr>
              <w:t xml:space="preserve">Sie erleichtern uns die Auswertung, wenn Sie uns Ihre Stellungnahme elektronisch als Word-Dokument zur Verfügung stellen. </w:t>
            </w:r>
            <w:r w:rsidRPr="00CC08DE">
              <w:rPr>
                <w:b/>
                <w:bCs/>
                <w:lang w:val="fr-CH"/>
              </w:rPr>
              <w:t>Vielen Dank.</w:t>
            </w:r>
            <w:r w:rsidRPr="00CC08DE">
              <w:rPr>
                <w:bCs/>
                <w:lang w:val="fr-CH"/>
              </w:rPr>
              <w:t xml:space="preserve"> </w:t>
            </w:r>
          </w:p>
          <w:p w14:paraId="6C4F75D2" w14:textId="77777777" w:rsidR="005E5D65" w:rsidRPr="00CC08DE" w:rsidRDefault="005E5D65" w:rsidP="00600255">
            <w:pPr>
              <w:spacing w:before="60" w:after="60"/>
              <w:ind w:right="113"/>
              <w:rPr>
                <w:lang w:val="it-CH"/>
              </w:rPr>
            </w:pPr>
            <w:r w:rsidRPr="00CC08DE">
              <w:rPr>
                <w:lang w:val="fr-CH"/>
              </w:rPr>
              <w:t xml:space="preserve">Merci d’envoyer votre prise de position par courrier électronique à </w:t>
            </w:r>
            <w:hyperlink r:id="rId7" w:history="1">
              <w:r w:rsidRPr="00CC08DE">
                <w:rPr>
                  <w:rStyle w:val="Hyperlink"/>
                  <w:lang w:val="fr-CH"/>
                </w:rPr>
                <w:t>energie@bwl.admin.ch</w:t>
              </w:r>
            </w:hyperlink>
            <w:r w:rsidRPr="00CC08DE">
              <w:rPr>
                <w:lang w:val="fr-CH"/>
              </w:rPr>
              <w:t xml:space="preserve">. Un envoi </w:t>
            </w:r>
            <w:r w:rsidRPr="00CC08DE">
              <w:rPr>
                <w:b/>
                <w:lang w:val="fr-CH"/>
              </w:rPr>
              <w:t xml:space="preserve">en format Word par courrier électronique facilitera grandement notre travail. </w:t>
            </w:r>
            <w:r w:rsidRPr="00CC08DE">
              <w:rPr>
                <w:b/>
                <w:lang w:val="it-CH"/>
              </w:rPr>
              <w:t>D’avance, merci beaucoup.</w:t>
            </w:r>
          </w:p>
          <w:p w14:paraId="3F67F585" w14:textId="77777777" w:rsidR="005E5D65" w:rsidRPr="00CC08DE" w:rsidRDefault="005E5D65" w:rsidP="00600255">
            <w:pPr>
              <w:spacing w:after="0"/>
              <w:rPr>
                <w:b/>
                <w:bCs/>
                <w:lang w:val="it-CH"/>
              </w:rPr>
            </w:pPr>
            <w:r w:rsidRPr="00CC08DE">
              <w:rPr>
                <w:bCs/>
                <w:lang w:val="it-CH"/>
              </w:rPr>
              <w:t>Vi invitiamo a inoltrare i vostri pareri all</w:t>
            </w:r>
            <w:r>
              <w:rPr>
                <w:bCs/>
                <w:lang w:val="it-CH"/>
              </w:rPr>
              <w:t>’</w:t>
            </w:r>
            <w:r w:rsidRPr="00CC08DE">
              <w:rPr>
                <w:bCs/>
                <w:lang w:val="it-CH"/>
              </w:rPr>
              <w:t xml:space="preserve">indirizzo di posta elettronica </w:t>
            </w:r>
            <w:hyperlink r:id="rId8" w:history="1">
              <w:r w:rsidRPr="00CC08DE">
                <w:rPr>
                  <w:rStyle w:val="Hyperlink"/>
                  <w:lang w:val="it-CH"/>
                </w:rPr>
                <w:t>energie@bwl.admin.ch</w:t>
              </w:r>
            </w:hyperlink>
            <w:r w:rsidRPr="00CC08DE">
              <w:rPr>
                <w:bCs/>
                <w:lang w:val="it-CH"/>
              </w:rPr>
              <w:t xml:space="preserve">. </w:t>
            </w:r>
            <w:r w:rsidRPr="00CC08DE">
              <w:rPr>
                <w:b/>
                <w:bCs/>
                <w:lang w:val="it-CH"/>
              </w:rPr>
              <w:t>Onde agevolare la valutazione dei pareri, vi invitiamo a trasmetterci elettronicamente i vostri commenti sotto forma di documento Word. Grazie.</w:t>
            </w:r>
          </w:p>
        </w:tc>
      </w:tr>
    </w:tbl>
    <w:p w14:paraId="281D4A57" w14:textId="77777777" w:rsidR="005E5D65" w:rsidRDefault="005E5D65" w:rsidP="005E5D65">
      <w:pPr>
        <w:spacing w:after="0"/>
        <w:rPr>
          <w:b/>
          <w:lang w:val="fr-CH"/>
        </w:rPr>
      </w:pPr>
      <w:r>
        <w:rPr>
          <w:b/>
          <w:lang w:val="fr-CH"/>
        </w:rPr>
        <w:br w:type="page"/>
      </w:r>
    </w:p>
    <w:p w14:paraId="06B9C419" w14:textId="77777777" w:rsidR="005E5D65" w:rsidRDefault="005E5D65" w:rsidP="005E5D65">
      <w:pPr>
        <w:pStyle w:val="Titel10Pt"/>
        <w:spacing w:before="40" w:after="40" w:line="240" w:lineRule="auto"/>
      </w:pPr>
      <w:r>
        <w:rPr>
          <w:lang w:val="de-DE"/>
        </w:rPr>
        <w:lastRenderedPageBreak/>
        <w:t xml:space="preserve">Inhalt / </w:t>
      </w:r>
      <w:r>
        <w:rPr>
          <w:lang w:val="fr-CH"/>
        </w:rPr>
        <w:t>Contenu</w:t>
      </w:r>
      <w:r>
        <w:rPr>
          <w:lang w:val="de-DE"/>
        </w:rPr>
        <w:t xml:space="preserve"> / </w:t>
      </w:r>
      <w:r>
        <w:rPr>
          <w:lang w:val="it-CH"/>
        </w:rPr>
        <w:t>Indice</w:t>
      </w:r>
    </w:p>
    <w:p w14:paraId="1FA4BA6B" w14:textId="77777777" w:rsidR="005E5D65" w:rsidRDefault="005E5D65" w:rsidP="005E5D65">
      <w:pPr>
        <w:pStyle w:val="Verzeichnis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0091572" w:history="1">
        <w:r w:rsidRPr="00081FB0">
          <w:rPr>
            <w:rStyle w:val="Hyperlink"/>
            <w:noProof/>
            <w:lang w:val="it-CH"/>
          </w:rPr>
          <w:t>Allgemeine Bemerkungen / Remarques générales / Osservazioni generali</w:t>
        </w:r>
        <w:r>
          <w:rPr>
            <w:noProof/>
            <w:webHidden/>
          </w:rPr>
          <w:tab/>
        </w:r>
        <w:r>
          <w:rPr>
            <w:noProof/>
            <w:webHidden/>
          </w:rPr>
          <w:fldChar w:fldCharType="begin"/>
        </w:r>
        <w:r>
          <w:rPr>
            <w:noProof/>
            <w:webHidden/>
          </w:rPr>
          <w:instrText xml:space="preserve"> PAGEREF _Toc120091572 \h </w:instrText>
        </w:r>
        <w:r>
          <w:rPr>
            <w:noProof/>
            <w:webHidden/>
          </w:rPr>
        </w:r>
        <w:r>
          <w:rPr>
            <w:noProof/>
            <w:webHidden/>
          </w:rPr>
          <w:fldChar w:fldCharType="separate"/>
        </w:r>
        <w:r>
          <w:rPr>
            <w:noProof/>
            <w:webHidden/>
          </w:rPr>
          <w:t>4</w:t>
        </w:r>
        <w:r>
          <w:rPr>
            <w:noProof/>
            <w:webHidden/>
          </w:rPr>
          <w:fldChar w:fldCharType="end"/>
        </w:r>
      </w:hyperlink>
    </w:p>
    <w:p w14:paraId="0D904B5A" w14:textId="77777777" w:rsidR="005E5D65" w:rsidRDefault="005E5D65" w:rsidP="005E5D65">
      <w:pPr>
        <w:pStyle w:val="Verzeichnis1"/>
        <w:rPr>
          <w:rFonts w:asciiTheme="minorHAnsi" w:eastAsiaTheme="minorEastAsia" w:hAnsiTheme="minorHAnsi" w:cstheme="minorBidi"/>
          <w:noProof/>
          <w:sz w:val="22"/>
          <w:szCs w:val="22"/>
        </w:rPr>
      </w:pPr>
      <w:hyperlink w:anchor="_Toc120091573" w:history="1">
        <w:r w:rsidRPr="00081FB0">
          <w:rPr>
            <w:rStyle w:val="Hyperlink"/>
            <w:noProof/>
            <w:lang w:val="en-US"/>
          </w:rPr>
          <w:t>Verordnung über Beschränkungen und Verbote der Verwendung elektrischer Energie inkl. Kommentar / Ordonnance sur les restrictions et interdictions d’utilisation de l’énergie électrique et commentaire y relatif / Ordinanza concernente limitazioni e divieti di utilizzo di energia elettrica</w:t>
        </w:r>
        <w:r>
          <w:rPr>
            <w:noProof/>
            <w:webHidden/>
          </w:rPr>
          <w:tab/>
        </w:r>
        <w:r>
          <w:rPr>
            <w:noProof/>
            <w:webHidden/>
          </w:rPr>
          <w:fldChar w:fldCharType="begin"/>
        </w:r>
        <w:r>
          <w:rPr>
            <w:noProof/>
            <w:webHidden/>
          </w:rPr>
          <w:instrText xml:space="preserve"> PAGEREF _Toc120091573 \h </w:instrText>
        </w:r>
        <w:r>
          <w:rPr>
            <w:noProof/>
            <w:webHidden/>
          </w:rPr>
        </w:r>
        <w:r>
          <w:rPr>
            <w:noProof/>
            <w:webHidden/>
          </w:rPr>
          <w:fldChar w:fldCharType="separate"/>
        </w:r>
        <w:r>
          <w:rPr>
            <w:noProof/>
            <w:webHidden/>
          </w:rPr>
          <w:t>6</w:t>
        </w:r>
        <w:r>
          <w:rPr>
            <w:noProof/>
            <w:webHidden/>
          </w:rPr>
          <w:fldChar w:fldCharType="end"/>
        </w:r>
      </w:hyperlink>
    </w:p>
    <w:p w14:paraId="73A7832D" w14:textId="77777777" w:rsidR="005E5D65" w:rsidRDefault="005E5D65" w:rsidP="005E5D65">
      <w:pPr>
        <w:pStyle w:val="Verzeichnis1"/>
        <w:rPr>
          <w:rFonts w:asciiTheme="minorHAnsi" w:eastAsiaTheme="minorEastAsia" w:hAnsiTheme="minorHAnsi" w:cstheme="minorBidi"/>
          <w:noProof/>
          <w:sz w:val="22"/>
          <w:szCs w:val="22"/>
        </w:rPr>
      </w:pPr>
      <w:hyperlink w:anchor="_Toc120091574" w:history="1">
        <w:r w:rsidRPr="00081FB0">
          <w:rPr>
            <w:rStyle w:val="Hyperlink"/>
            <w:noProof/>
            <w:lang w:val="fr-CH"/>
          </w:rPr>
          <w:t>Verordnung über die Sofortkontingentierung elektrischer Energie inkl. Kommentar / Ordonnance sur le contingentement immédiat de l’énergie électrique et commentaire y relatif / Ordinanza sul contingentamento immediato dell’energia elettrica</w:t>
        </w:r>
        <w:r>
          <w:rPr>
            <w:noProof/>
            <w:webHidden/>
          </w:rPr>
          <w:tab/>
        </w:r>
        <w:r>
          <w:rPr>
            <w:noProof/>
            <w:webHidden/>
          </w:rPr>
          <w:fldChar w:fldCharType="begin"/>
        </w:r>
        <w:r>
          <w:rPr>
            <w:noProof/>
            <w:webHidden/>
          </w:rPr>
          <w:instrText xml:space="preserve"> PAGEREF _Toc120091574 \h </w:instrText>
        </w:r>
        <w:r>
          <w:rPr>
            <w:noProof/>
            <w:webHidden/>
          </w:rPr>
        </w:r>
        <w:r>
          <w:rPr>
            <w:noProof/>
            <w:webHidden/>
          </w:rPr>
          <w:fldChar w:fldCharType="separate"/>
        </w:r>
        <w:r>
          <w:rPr>
            <w:noProof/>
            <w:webHidden/>
          </w:rPr>
          <w:t>9</w:t>
        </w:r>
        <w:r>
          <w:rPr>
            <w:noProof/>
            <w:webHidden/>
          </w:rPr>
          <w:fldChar w:fldCharType="end"/>
        </w:r>
      </w:hyperlink>
    </w:p>
    <w:p w14:paraId="7C603A1F" w14:textId="77777777" w:rsidR="005E5D65" w:rsidRDefault="005E5D65" w:rsidP="005E5D65">
      <w:pPr>
        <w:pStyle w:val="Verzeichnis1"/>
        <w:rPr>
          <w:rFonts w:asciiTheme="minorHAnsi" w:eastAsiaTheme="minorEastAsia" w:hAnsiTheme="minorHAnsi" w:cstheme="minorBidi"/>
          <w:noProof/>
          <w:sz w:val="22"/>
          <w:szCs w:val="22"/>
        </w:rPr>
      </w:pPr>
      <w:hyperlink w:anchor="_Toc120091575" w:history="1">
        <w:r w:rsidRPr="00081FB0">
          <w:rPr>
            <w:rStyle w:val="Hyperlink"/>
            <w:noProof/>
            <w:lang w:val="fr-CH"/>
          </w:rPr>
          <w:t>Verordnung über die Kontingentierung elektrischer Energie inkl. Kommentar / Ordonnance sur le contingentement de l’énergie électrique et commentaire y relatif / Ordinanza sul contingentamento dell’energia elettrica</w:t>
        </w:r>
        <w:r>
          <w:rPr>
            <w:noProof/>
            <w:webHidden/>
          </w:rPr>
          <w:tab/>
        </w:r>
        <w:r>
          <w:rPr>
            <w:noProof/>
            <w:webHidden/>
          </w:rPr>
          <w:fldChar w:fldCharType="begin"/>
        </w:r>
        <w:r>
          <w:rPr>
            <w:noProof/>
            <w:webHidden/>
          </w:rPr>
          <w:instrText xml:space="preserve"> PAGEREF _Toc120091575 \h </w:instrText>
        </w:r>
        <w:r>
          <w:rPr>
            <w:noProof/>
            <w:webHidden/>
          </w:rPr>
        </w:r>
        <w:r>
          <w:rPr>
            <w:noProof/>
            <w:webHidden/>
          </w:rPr>
          <w:fldChar w:fldCharType="separate"/>
        </w:r>
        <w:r>
          <w:rPr>
            <w:noProof/>
            <w:webHidden/>
          </w:rPr>
          <w:t>10</w:t>
        </w:r>
        <w:r>
          <w:rPr>
            <w:noProof/>
            <w:webHidden/>
          </w:rPr>
          <w:fldChar w:fldCharType="end"/>
        </w:r>
      </w:hyperlink>
    </w:p>
    <w:p w14:paraId="12A2C34E" w14:textId="77777777" w:rsidR="005E5D65" w:rsidRDefault="005E5D65" w:rsidP="005E5D65">
      <w:pPr>
        <w:pStyle w:val="Verzeichnis1"/>
        <w:rPr>
          <w:rFonts w:asciiTheme="minorHAnsi" w:eastAsiaTheme="minorEastAsia" w:hAnsiTheme="minorHAnsi" w:cstheme="minorBidi"/>
          <w:noProof/>
          <w:sz w:val="22"/>
          <w:szCs w:val="22"/>
        </w:rPr>
      </w:pPr>
      <w:hyperlink w:anchor="_Toc120091576" w:history="1">
        <w:r w:rsidRPr="00081FB0">
          <w:rPr>
            <w:rStyle w:val="Hyperlink"/>
            <w:noProof/>
          </w:rPr>
          <w:t>Verordnung über die Abschaltung von Stromnetzen zur Sicherstellung der Elektrizitätsversorgung inkl. Kommentar / Ordonnance sur le délestage des réseaux électriques pour assurer l’approvisionnement en électricité et commentaire y relatif / Ordinanza sul disinserimento di reti elettriche per garantire l’approvvigionamento di elettricità</w:t>
        </w:r>
        <w:r>
          <w:rPr>
            <w:noProof/>
            <w:webHidden/>
          </w:rPr>
          <w:tab/>
        </w:r>
        <w:r>
          <w:rPr>
            <w:noProof/>
            <w:webHidden/>
          </w:rPr>
          <w:fldChar w:fldCharType="begin"/>
        </w:r>
        <w:r>
          <w:rPr>
            <w:noProof/>
            <w:webHidden/>
          </w:rPr>
          <w:instrText xml:space="preserve"> PAGEREF _Toc120091576 \h </w:instrText>
        </w:r>
        <w:r>
          <w:rPr>
            <w:noProof/>
            <w:webHidden/>
          </w:rPr>
        </w:r>
        <w:r>
          <w:rPr>
            <w:noProof/>
            <w:webHidden/>
          </w:rPr>
          <w:fldChar w:fldCharType="separate"/>
        </w:r>
        <w:r>
          <w:rPr>
            <w:noProof/>
            <w:webHidden/>
          </w:rPr>
          <w:t>12</w:t>
        </w:r>
        <w:r>
          <w:rPr>
            <w:noProof/>
            <w:webHidden/>
          </w:rPr>
          <w:fldChar w:fldCharType="end"/>
        </w:r>
      </w:hyperlink>
    </w:p>
    <w:p w14:paraId="092B4D8C" w14:textId="77777777" w:rsidR="005E5D65" w:rsidRDefault="005E5D65" w:rsidP="005E5D65">
      <w:pPr>
        <w:pStyle w:val="Verzeichnis1"/>
        <w:rPr>
          <w:rFonts w:asciiTheme="minorHAnsi" w:eastAsiaTheme="minorEastAsia" w:hAnsiTheme="minorHAnsi" w:cstheme="minorBidi"/>
          <w:noProof/>
          <w:sz w:val="22"/>
          <w:szCs w:val="22"/>
        </w:rPr>
      </w:pPr>
      <w:hyperlink w:anchor="_Toc120091577" w:history="1">
        <w:r w:rsidRPr="00081FB0">
          <w:rPr>
            <w:rStyle w:val="Hyperlink"/>
            <w:noProof/>
            <w:lang w:val="fr-CH"/>
          </w:rPr>
          <w:t>Verordnung über die Änderung einer Bestimmung des Landesversorgungsgesetzes / Ordonnance sur la modification d’une disposition de la loi sur l’approvisionnement du pays/ Ordinanza concernente la modifica di una disposizione della legge sull’approvvigionamento del Paese</w:t>
        </w:r>
        <w:r>
          <w:rPr>
            <w:noProof/>
            <w:webHidden/>
          </w:rPr>
          <w:tab/>
        </w:r>
        <w:r>
          <w:rPr>
            <w:noProof/>
            <w:webHidden/>
          </w:rPr>
          <w:fldChar w:fldCharType="begin"/>
        </w:r>
        <w:r>
          <w:rPr>
            <w:noProof/>
            <w:webHidden/>
          </w:rPr>
          <w:instrText xml:space="preserve"> PAGEREF _Toc120091577 \h </w:instrText>
        </w:r>
        <w:r>
          <w:rPr>
            <w:noProof/>
            <w:webHidden/>
          </w:rPr>
        </w:r>
        <w:r>
          <w:rPr>
            <w:noProof/>
            <w:webHidden/>
          </w:rPr>
          <w:fldChar w:fldCharType="separate"/>
        </w:r>
        <w:r>
          <w:rPr>
            <w:noProof/>
            <w:webHidden/>
          </w:rPr>
          <w:t>15</w:t>
        </w:r>
        <w:r>
          <w:rPr>
            <w:noProof/>
            <w:webHidden/>
          </w:rPr>
          <w:fldChar w:fldCharType="end"/>
        </w:r>
      </w:hyperlink>
    </w:p>
    <w:p w14:paraId="5D4AAEE7" w14:textId="77777777" w:rsidR="005E5D65" w:rsidRDefault="005E5D65" w:rsidP="005E5D65">
      <w:pPr>
        <w:pStyle w:val="Verzeichnis1"/>
        <w:spacing w:before="40" w:after="40" w:line="240" w:lineRule="auto"/>
        <w:rPr>
          <w:lang w:val="it-CH"/>
        </w:rPr>
      </w:pPr>
      <w:r>
        <w:rPr>
          <w:bCs/>
          <w:lang w:val="de-DE"/>
        </w:rPr>
        <w:fldChar w:fldCharType="end"/>
      </w:r>
    </w:p>
    <w:p w14:paraId="1524B2DB" w14:textId="77777777" w:rsidR="005E5D65" w:rsidRDefault="005E5D65" w:rsidP="005E5D65">
      <w:pPr>
        <w:pStyle w:val="berschrift1"/>
        <w:rPr>
          <w:lang w:val="it-CH"/>
        </w:rPr>
      </w:pPr>
      <w:bookmarkStart w:id="1" w:name="_Ref352161886"/>
      <w:bookmarkStart w:id="2" w:name="_Toc120091572"/>
      <w:r>
        <w:rPr>
          <w:lang w:val="it-CH"/>
        </w:rPr>
        <w:lastRenderedPageBreak/>
        <w:t>Allgemeine Bemerkungen / Remarques générales / Osservazioni generali</w:t>
      </w:r>
      <w:bookmarkEnd w:id="1"/>
      <w:bookmarkEnd w:id="2"/>
      <w:r>
        <w:rPr>
          <w:lang w:val="it-CH"/>
        </w:rPr>
        <w:t xml:space="preserve"> </w:t>
      </w: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4"/>
        <w:gridCol w:w="558"/>
      </w:tblGrid>
      <w:tr w:rsidR="005E5D65" w14:paraId="47904B15" w14:textId="77777777" w:rsidTr="00600255">
        <w:trPr>
          <w:trHeight w:val="8855"/>
        </w:trPr>
        <w:tc>
          <w:tcPr>
            <w:tcW w:w="14014" w:type="dxa"/>
          </w:tcPr>
          <w:p w14:paraId="3BEE345B" w14:textId="151EE885" w:rsidR="005E5D65" w:rsidRDefault="005E5D65" w:rsidP="005E5D65">
            <w:pPr>
              <w:pStyle w:val="Listenabsatz"/>
              <w:numPr>
                <w:ilvl w:val="0"/>
                <w:numId w:val="15"/>
              </w:numPr>
              <w:spacing w:after="120"/>
              <w:contextualSpacing w:val="0"/>
            </w:pPr>
            <w:r w:rsidRPr="00015BB8">
              <w:rPr>
                <w:u w:val="single"/>
              </w:rPr>
              <w:lastRenderedPageBreak/>
              <w:t xml:space="preserve">Wir unterstützen die Stellungnahme der </w:t>
            </w:r>
            <w:r w:rsidR="002F357F">
              <w:rPr>
                <w:u w:val="single"/>
              </w:rPr>
              <w:t xml:space="preserve">Konferenz Kantonaler </w:t>
            </w:r>
            <w:r w:rsidRPr="00015BB8">
              <w:rPr>
                <w:u w:val="single"/>
              </w:rPr>
              <w:t xml:space="preserve">Energiedirektoren </w:t>
            </w:r>
            <w:r w:rsidR="002F357F">
              <w:rPr>
                <w:u w:val="single"/>
              </w:rPr>
              <w:t xml:space="preserve">(EnDK) </w:t>
            </w:r>
            <w:r w:rsidRPr="00015BB8">
              <w:rPr>
                <w:u w:val="single"/>
              </w:rPr>
              <w:t>vom 2. Dezember 2022</w:t>
            </w:r>
            <w:r w:rsidRPr="00015BB8">
              <w:t xml:space="preserve">, die unter Einbezug der Konferenz </w:t>
            </w:r>
            <w:r w:rsidR="002F357F">
              <w:t>K</w:t>
            </w:r>
            <w:r w:rsidRPr="00015BB8">
              <w:t xml:space="preserve">antonaler </w:t>
            </w:r>
            <w:r w:rsidR="002F357F" w:rsidRPr="00015BB8">
              <w:t>Volkswirtschaftsdirektor</w:t>
            </w:r>
            <w:r w:rsidR="002F357F">
              <w:t>inn</w:t>
            </w:r>
            <w:r w:rsidR="002F357F" w:rsidRPr="00015BB8">
              <w:t>en</w:t>
            </w:r>
            <w:r w:rsidR="002F357F" w:rsidRPr="00015BB8">
              <w:t xml:space="preserve"> </w:t>
            </w:r>
            <w:r w:rsidR="002F357F">
              <w:t xml:space="preserve">und </w:t>
            </w:r>
            <w:r w:rsidRPr="00015BB8">
              <w:t>Volkswirtschaftsdirektoren, der Bau-, Planungs- und Umweltdirektoren</w:t>
            </w:r>
            <w:r w:rsidR="002F357F">
              <w:t>-K</w:t>
            </w:r>
            <w:r w:rsidRPr="00015BB8">
              <w:t xml:space="preserve">onferenz, </w:t>
            </w:r>
            <w:r w:rsidR="002F357F" w:rsidRPr="002F357F">
              <w:t>der</w:t>
            </w:r>
            <w:r w:rsidR="002F357F">
              <w:t> </w:t>
            </w:r>
            <w:r w:rsidR="002F357F" w:rsidRPr="002F357F">
              <w:t>Konferenz der kantonalen Gesundheitsdirektorinnen und -direktoren, der Konferenz der Kantonalen</w:t>
            </w:r>
            <w:r w:rsidRPr="00015BB8">
              <w:t xml:space="preserve"> Justiz- und Polizeidirektorinnen und </w:t>
            </w:r>
            <w:r w:rsidR="002F357F">
              <w:br/>
            </w:r>
            <w:r w:rsidRPr="00015BB8">
              <w:t>-direktoren, der Regierungskonferenz Militär, Zivilschutz und Feuerwehr, der</w:t>
            </w:r>
            <w:r>
              <w:t xml:space="preserve"> </w:t>
            </w:r>
            <w:r w:rsidRPr="00015BB8">
              <w:t xml:space="preserve">Konferenz der </w:t>
            </w:r>
            <w:r>
              <w:t>k</w:t>
            </w:r>
            <w:r w:rsidRPr="00015BB8">
              <w:t>antonalen Sozialdirektorinnen und Sozialdi</w:t>
            </w:r>
            <w:r>
              <w:t>rektoren sowie der Konferenz der k</w:t>
            </w:r>
            <w:r w:rsidRPr="00015BB8">
              <w:t>antonalen Landwirtschaftsdirektoren erarbeitet wurde.</w:t>
            </w:r>
          </w:p>
          <w:p w14:paraId="3C5B54C3" w14:textId="022DE0CA" w:rsidR="005E5D65" w:rsidRPr="00F91B03" w:rsidRDefault="005E5D65" w:rsidP="005E5D65">
            <w:pPr>
              <w:pStyle w:val="Listenabsatz"/>
              <w:numPr>
                <w:ilvl w:val="0"/>
                <w:numId w:val="15"/>
              </w:numPr>
              <w:spacing w:after="120"/>
              <w:contextualSpacing w:val="0"/>
            </w:pPr>
            <w:r w:rsidRPr="00F91B03">
              <w:t>Insbesondere möchten wir betonen, dass</w:t>
            </w:r>
            <w:r>
              <w:t xml:space="preserve"> </w:t>
            </w:r>
            <w:r w:rsidRPr="00362129">
              <w:rPr>
                <w:u w:val="single"/>
              </w:rPr>
              <w:t>Netzabschaltungen mit allen Mitteln zu vermeiden</w:t>
            </w:r>
            <w:r>
              <w:t xml:space="preserve"> sind</w:t>
            </w:r>
            <w:r w:rsidRPr="00362129">
              <w:t>. Deshalb sollte das Mit</w:t>
            </w:r>
            <w:r>
              <w:t>tel der Kontingentierung des Strombedarfs so</w:t>
            </w:r>
            <w:r w:rsidR="002F357F">
              <w:t xml:space="preserve"> </w:t>
            </w:r>
            <w:r w:rsidRPr="00362129">
              <w:t xml:space="preserve">weit </w:t>
            </w:r>
            <w:r w:rsidR="002F357F">
              <w:t xml:space="preserve">wie </w:t>
            </w:r>
            <w:r>
              <w:t>möglich</w:t>
            </w:r>
            <w:r w:rsidRPr="00362129">
              <w:t xml:space="preserve"> ausgereizt werden. </w:t>
            </w:r>
          </w:p>
          <w:p w14:paraId="16CF7E2E" w14:textId="77777777" w:rsidR="005E5D65" w:rsidRDefault="005E5D65" w:rsidP="005E5D65">
            <w:pPr>
              <w:pStyle w:val="Listenabsatz"/>
              <w:numPr>
                <w:ilvl w:val="0"/>
                <w:numId w:val="15"/>
              </w:numPr>
              <w:spacing w:after="120"/>
              <w:contextualSpacing w:val="0"/>
            </w:pPr>
            <w:r w:rsidRPr="00015BB8">
              <w:t xml:space="preserve">Aus Sicht des Kantons Zürich sind zudem weitere grundsätzliche Punkte sowie Änderungen zu einzelnen Artikeln der Verordnung zu berücksichtigen. Gerne lassen wir Ihnen </w:t>
            </w:r>
            <w:r>
              <w:t xml:space="preserve">diese </w:t>
            </w:r>
            <w:r w:rsidRPr="00015BB8">
              <w:t xml:space="preserve">als </w:t>
            </w:r>
            <w:r w:rsidRPr="00015BB8">
              <w:rPr>
                <w:u w:val="single"/>
              </w:rPr>
              <w:t>Ergänzung zur Stellungnahme der EnDK</w:t>
            </w:r>
            <w:r w:rsidRPr="00015BB8">
              <w:t xml:space="preserve"> </w:t>
            </w:r>
            <w:r>
              <w:t>im vorliegenden Antwortformular zukommen:</w:t>
            </w:r>
          </w:p>
          <w:p w14:paraId="31286D2C" w14:textId="77777777" w:rsidR="005E5D65" w:rsidRDefault="005E5D65" w:rsidP="00600255">
            <w:pPr>
              <w:pStyle w:val="Listenabsatz"/>
              <w:spacing w:after="120"/>
              <w:ind w:left="1067"/>
              <w:contextualSpacing w:val="0"/>
            </w:pPr>
          </w:p>
          <w:p w14:paraId="76F10F3E" w14:textId="1AA78F7B" w:rsidR="005E5D65" w:rsidRDefault="005E5D65" w:rsidP="005E5D65">
            <w:pPr>
              <w:pStyle w:val="Listenabsatz"/>
              <w:numPr>
                <w:ilvl w:val="0"/>
                <w:numId w:val="15"/>
              </w:numPr>
              <w:spacing w:after="120"/>
              <w:contextualSpacing w:val="0"/>
            </w:pPr>
            <w:r w:rsidRPr="00015BB8">
              <w:t xml:space="preserve">Das eigentliche Ziel </w:t>
            </w:r>
            <w:r>
              <w:t>ist die</w:t>
            </w:r>
            <w:r w:rsidRPr="00015BB8">
              <w:t xml:space="preserve"> ausreichende, breit gefächerte, sichere, wirtschaftliche und umweltverträgliche Energieversor</w:t>
            </w:r>
            <w:r>
              <w:t>gung der Schweiz</w:t>
            </w:r>
            <w:r w:rsidRPr="00015BB8">
              <w:t xml:space="preserve"> (</w:t>
            </w:r>
            <w:r w:rsidR="0089323D">
              <w:t>Art. </w:t>
            </w:r>
            <w:r w:rsidRPr="00015BB8">
              <w:t>89 B</w:t>
            </w:r>
            <w:r w:rsidR="00E800A1">
              <w:t>undesverfassung</w:t>
            </w:r>
            <w:r w:rsidRPr="00015BB8">
              <w:t xml:space="preserve">). Die bei instabiler Stromversorgung </w:t>
            </w:r>
            <w:r>
              <w:t xml:space="preserve">zu erwartende </w:t>
            </w:r>
            <w:r w:rsidRPr="00015BB8">
              <w:t xml:space="preserve">Deindustrialisierung der Schweiz würde einen </w:t>
            </w:r>
            <w:r w:rsidR="00E800A1">
              <w:t>schwerwiegenden</w:t>
            </w:r>
            <w:r w:rsidRPr="00015BB8">
              <w:t xml:space="preserve"> Rückgang des gegenwärtigen Wohlstandsniveaus auslösen. </w:t>
            </w:r>
            <w:r>
              <w:br/>
            </w:r>
            <w:r w:rsidRPr="00015BB8">
              <w:rPr>
                <w:u w:val="single"/>
              </w:rPr>
              <w:t>Antrag</w:t>
            </w:r>
            <w:r>
              <w:t>: Es sind die erforderlichen</w:t>
            </w:r>
            <w:r w:rsidRPr="00015BB8">
              <w:t xml:space="preserve"> Massnahmen </w:t>
            </w:r>
            <w:r>
              <w:t xml:space="preserve">zu </w:t>
            </w:r>
            <w:r w:rsidRPr="00015BB8">
              <w:t xml:space="preserve">ergreifen, </w:t>
            </w:r>
            <w:r>
              <w:t xml:space="preserve">damit </w:t>
            </w:r>
            <w:r w:rsidRPr="00015BB8">
              <w:t>Strommangellagen in den kommenden Jahren verm</w:t>
            </w:r>
            <w:r>
              <w:t>ie</w:t>
            </w:r>
            <w:r w:rsidRPr="00015BB8">
              <w:t>den</w:t>
            </w:r>
            <w:r>
              <w:t xml:space="preserve"> werden können</w:t>
            </w:r>
            <w:r w:rsidRPr="00015BB8">
              <w:t>.</w:t>
            </w:r>
          </w:p>
          <w:p w14:paraId="18E2AAB2" w14:textId="437AEB45" w:rsidR="005E5D65" w:rsidRPr="009A21C8" w:rsidRDefault="005E5D65" w:rsidP="005E5D65">
            <w:pPr>
              <w:pStyle w:val="Listenabsatz"/>
              <w:numPr>
                <w:ilvl w:val="0"/>
                <w:numId w:val="15"/>
              </w:numPr>
              <w:spacing w:after="120"/>
              <w:contextualSpacing w:val="0"/>
            </w:pPr>
            <w:r w:rsidRPr="009A21C8">
              <w:t xml:space="preserve">Das vorgesehene differenzierte, nach Eingriffsintensität priorisierte Vorgehen bei der lnkraftsetzung der Bewirtschaftungsmassnahmen wird begrüsst. Dazu gehört insbesondere </w:t>
            </w:r>
            <w:r w:rsidR="00E800A1">
              <w:t xml:space="preserve">auch </w:t>
            </w:r>
            <w:r w:rsidRPr="009A21C8">
              <w:t xml:space="preserve">die Einführung von Eskalationsstufen bei den Verbrauchseinschränkungen und </w:t>
            </w:r>
            <w:r w:rsidR="00E800A1">
              <w:t>-v</w:t>
            </w:r>
            <w:r w:rsidRPr="009A21C8">
              <w:t>erboten.</w:t>
            </w:r>
          </w:p>
          <w:p w14:paraId="4ABB3B2A" w14:textId="77777777" w:rsidR="005E5D65" w:rsidRDefault="005E5D65" w:rsidP="005E5D65">
            <w:pPr>
              <w:pStyle w:val="Listenabsatz"/>
              <w:numPr>
                <w:ilvl w:val="0"/>
                <w:numId w:val="15"/>
              </w:numPr>
              <w:spacing w:after="120"/>
              <w:contextualSpacing w:val="0"/>
            </w:pPr>
            <w:r w:rsidRPr="009A21C8">
              <w:t>Hingegen fehlt die Aussage, in welcher Rangfolge die Bewirtschaftungsmassnahmen des Verbrauchs mit den verschiedenen vom Bund aufgebauten angebotsseitigen Reservemassnahmen (Reservekraftwerk Birr, Wasserkraftreserve usw.) stehen. Aufgrund der Auswirkungen auf Wirtschaft und Gesellschaft ist es angezeigt, zunächst das Potenzial dieser angebotsseitigen Massnahmen zu nutzen, bevor der Verbrauch eingeschränkt wird. Der Bundesrat wird gebeten, seine diesbezüglichen konzeptionellen Überlegungen darzulegen.</w:t>
            </w:r>
          </w:p>
          <w:p w14:paraId="0BD9A58F" w14:textId="0758EC7C" w:rsidR="005E5D65" w:rsidRDefault="005E5D65" w:rsidP="005E5D65">
            <w:pPr>
              <w:pStyle w:val="Listenabsatz"/>
              <w:numPr>
                <w:ilvl w:val="0"/>
                <w:numId w:val="15"/>
              </w:numPr>
              <w:spacing w:after="120"/>
              <w:contextualSpacing w:val="0"/>
            </w:pPr>
            <w:r w:rsidRPr="009A21C8">
              <w:t xml:space="preserve">Für die Planung der betroffenen Verbraucher, darunter insbesondere die Wirtschaftsakteure, aber auch die kantonalen Vollzugsbehörden, ist es wichtig, dass die um das Ergebnis der Vernehmlassung bereinigten Entwürfe der Verordnungen erneut </w:t>
            </w:r>
            <w:r w:rsidR="00E800A1">
              <w:t>veröffentlicht</w:t>
            </w:r>
            <w:r w:rsidRPr="009A21C8">
              <w:t xml:space="preserve"> werden, bevor sie in ihrer </w:t>
            </w:r>
            <w:r w:rsidR="00E800A1">
              <w:t>endgültigen</w:t>
            </w:r>
            <w:r w:rsidRPr="009A21C8">
              <w:t xml:space="preserve"> Fassung in Kraft gesetzt w</w:t>
            </w:r>
            <w:r>
              <w:t>e</w:t>
            </w:r>
            <w:r w:rsidRPr="009A21C8">
              <w:t xml:space="preserve">rden. Dabei ist es auch sehr wichtig, dass der Bund zwecks </w:t>
            </w:r>
            <w:r w:rsidR="00E800A1">
              <w:t>Verbesserung</w:t>
            </w:r>
            <w:r w:rsidRPr="009A21C8">
              <w:t xml:space="preserve"> der Planungssicherheit für die betroffenen Verbraucher die Richtkriterien nennt, von denen er die lnkraftsetzung der einzelnen Massnahmenstufen abhängig macht. </w:t>
            </w:r>
          </w:p>
          <w:p w14:paraId="37B1169F" w14:textId="77777777" w:rsidR="005E5D65" w:rsidRDefault="005E5D65" w:rsidP="005E5D65">
            <w:pPr>
              <w:pStyle w:val="Listenabsatz"/>
              <w:numPr>
                <w:ilvl w:val="0"/>
                <w:numId w:val="15"/>
              </w:numPr>
              <w:spacing w:after="120"/>
              <w:contextualSpacing w:val="0"/>
            </w:pPr>
            <w:r>
              <w:t>Aufgrund der Auswirkungen der einzelnen Vorschriften zu Verbrauchseinschränkungen und -verboten sowie Kontingentierungen halten wir es für angezeigt, dass Verschärfungen vom Bundesrat und nicht von einem einzelnen Departement (</w:t>
            </w:r>
            <w:r w:rsidRPr="009A21C8">
              <w:t>Eidgenössische</w:t>
            </w:r>
            <w:r>
              <w:t>s</w:t>
            </w:r>
            <w:r w:rsidRPr="009A21C8">
              <w:t xml:space="preserve"> Departement für Wirtschaft, Bildung und Forschung</w:t>
            </w:r>
            <w:r>
              <w:t>) erlassen werden. Nur so wird sichergestellt, dass eine Abwägung verschiedener lnteressen vorgenommen wird.</w:t>
            </w:r>
          </w:p>
          <w:p w14:paraId="1FBDAA08" w14:textId="37612488" w:rsidR="005E5D65" w:rsidRPr="00713CC5" w:rsidRDefault="005E5D65" w:rsidP="005E5D65">
            <w:pPr>
              <w:pStyle w:val="Listenabsatz"/>
              <w:numPr>
                <w:ilvl w:val="0"/>
                <w:numId w:val="15"/>
              </w:numPr>
              <w:spacing w:after="120"/>
            </w:pPr>
            <w:r w:rsidRPr="00015BB8">
              <w:t>Die Kantone sind für den Vollzug von Beschränkungen und Verboten sowie von Netzabschaltungen zuständig. Um die Verordnungen in den Kantonen weitestgehend einheitlich vollziehen zu können, braucht es geeignete Richtlinien oder Vollzugshilfen, insbesondere bei den Sanktionen.</w:t>
            </w:r>
            <w:r>
              <w:t xml:space="preserve"> </w:t>
            </w:r>
            <w:r w:rsidRPr="00015BB8">
              <w:t>Wer vorsätzlich gegen die Vorschriften der geplanten Verordnung</w:t>
            </w:r>
            <w:r>
              <w:t>en</w:t>
            </w:r>
            <w:r w:rsidRPr="00015BB8">
              <w:t xml:space="preserve"> verstösst, wird gemäss </w:t>
            </w:r>
            <w:r w:rsidR="0089323D">
              <w:t>Art. </w:t>
            </w:r>
            <w:r w:rsidRPr="00015BB8">
              <w:t>49 Abs. 1 des Landesversorgungsgesetzes mit Freiheitsstrafe bis zu drei Jahren oder mit Geldstrafe bestraft. Diese Sanktion ist zumindest bei Verstössen durch Privatpersonen sehr hart. Dabei ist zu bedenken, dass auch bei bedingte</w:t>
            </w:r>
            <w:r w:rsidR="00E800A1">
              <w:t>n</w:t>
            </w:r>
            <w:r w:rsidRPr="00015BB8">
              <w:t xml:space="preserve"> Sanktion</w:t>
            </w:r>
            <w:r w:rsidR="00E800A1">
              <w:t>en</w:t>
            </w:r>
            <w:r w:rsidRPr="00015BB8">
              <w:t xml:space="preserve"> jeweils noch Verfahrenskosten von mehreren Hundert Franken bezahlt werden müssen. </w:t>
            </w:r>
            <w:r>
              <w:t>D</w:t>
            </w:r>
            <w:r w:rsidRPr="00015BB8">
              <w:t xml:space="preserve">as Landesversorgungsgesetz (und die gestützt darauf erlassenen Verordnungen) </w:t>
            </w:r>
            <w:r>
              <w:t xml:space="preserve">sind deshalb </w:t>
            </w:r>
            <w:r>
              <w:lastRenderedPageBreak/>
              <w:t xml:space="preserve">dringlich </w:t>
            </w:r>
            <w:r w:rsidRPr="00015BB8">
              <w:t xml:space="preserve">in den Katalog von </w:t>
            </w:r>
            <w:r w:rsidR="0089323D">
              <w:t>Art. </w:t>
            </w:r>
            <w:r w:rsidRPr="00015BB8">
              <w:t>1 des Ordnungsbussengesetzes (SR</w:t>
            </w:r>
            <w:r w:rsidR="00E800A1">
              <w:t> </w:t>
            </w:r>
            <w:r w:rsidRPr="00015BB8">
              <w:t>314.1) auf</w:t>
            </w:r>
            <w:r>
              <w:t>zunehmen</w:t>
            </w:r>
            <w:r w:rsidRPr="00015BB8">
              <w:t>.</w:t>
            </w:r>
            <w:r>
              <w:t xml:space="preserve"> Dadurch</w:t>
            </w:r>
            <w:r w:rsidRPr="00015BB8">
              <w:t xml:space="preserve"> besteht die Möglichkeit, im Ernstfall zumindest bestimmte Verstösse gegen die Verordnung über Beschränkungen und Verbote der Verwendung elektrischer Energie in den Bussenkatalog der Ordnungsbussenverordnung aufzunehmen und damit die Belastung der Privaten wie auch </w:t>
            </w:r>
            <w:r>
              <w:t>den</w:t>
            </w:r>
            <w:r w:rsidRPr="00015BB8">
              <w:t xml:space="preserve"> administrative</w:t>
            </w:r>
            <w:r>
              <w:t>n</w:t>
            </w:r>
            <w:r w:rsidRPr="00015BB8">
              <w:t xml:space="preserve"> Aufwand der Behörden zu </w:t>
            </w:r>
            <w:r>
              <w:t>vermindern.</w:t>
            </w:r>
            <w:r>
              <w:br/>
            </w:r>
            <w:r w:rsidRPr="009A21C8">
              <w:rPr>
                <w:u w:val="single"/>
              </w:rPr>
              <w:t>Antrag</w:t>
            </w:r>
            <w:r>
              <w:t>: D</w:t>
            </w:r>
            <w:r w:rsidRPr="00015BB8">
              <w:t xml:space="preserve">as Landesversorgungsgesetz (und die gestützt darauf erlassenen Verordnungen) </w:t>
            </w:r>
            <w:r>
              <w:t>sind</w:t>
            </w:r>
            <w:r w:rsidR="002F357F">
              <w:t xml:space="preserve"> </w:t>
            </w:r>
            <w:r w:rsidRPr="00015BB8">
              <w:t xml:space="preserve">in den Katalog von </w:t>
            </w:r>
            <w:r w:rsidR="0089323D">
              <w:t>Art. </w:t>
            </w:r>
            <w:r w:rsidRPr="00015BB8">
              <w:t>1 des Ordnungsbussengesetzes auf</w:t>
            </w:r>
            <w:r>
              <w:t>zunehmen</w:t>
            </w:r>
            <w:r w:rsidRPr="00015BB8">
              <w:t>.</w:t>
            </w:r>
          </w:p>
        </w:tc>
        <w:tc>
          <w:tcPr>
            <w:tcW w:w="558" w:type="dxa"/>
            <w:tcBorders>
              <w:top w:val="nil"/>
              <w:bottom w:val="nil"/>
              <w:right w:val="nil"/>
            </w:tcBorders>
            <w:shd w:val="clear" w:color="auto" w:fill="FFFFFF"/>
          </w:tcPr>
          <w:p w14:paraId="4A30A755" w14:textId="77777777" w:rsidR="005E5D65" w:rsidRPr="00713CC5" w:rsidRDefault="005E5D65" w:rsidP="00600255">
            <w:pPr>
              <w:rPr>
                <w:b/>
              </w:rPr>
            </w:pPr>
          </w:p>
        </w:tc>
      </w:tr>
    </w:tbl>
    <w:p w14:paraId="059D515B" w14:textId="77777777" w:rsidR="005E5D65" w:rsidRPr="00713CC5" w:rsidRDefault="005E5D65" w:rsidP="005E5D65"/>
    <w:p w14:paraId="7F46B2AC" w14:textId="77777777" w:rsidR="005E5D65" w:rsidRPr="008D3EF4" w:rsidRDefault="005E5D65" w:rsidP="005E5D65">
      <w:pPr>
        <w:pStyle w:val="berschrift1"/>
      </w:pPr>
      <w:bookmarkStart w:id="3" w:name="_Toc120091573"/>
      <w:r w:rsidRPr="008D3EF4">
        <w:lastRenderedPageBreak/>
        <w:t>Verordnung über Beschränkungen und Verbote der Verwendung elektrischer Energie inkl. Kommentar / Ordonnance sur les restrictions et interdictions d’utilisation de l’énergie électrique et commentaire y relatif / Ordinanza concernente limitazioni e divieti di utilizzo di energia elettrica</w:t>
      </w:r>
      <w:bookmarkEnd w:id="3"/>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5E5D65" w14:paraId="4B2D7786" w14:textId="77777777" w:rsidTr="00600255">
        <w:trPr>
          <w:tblHeader/>
        </w:trPr>
        <w:tc>
          <w:tcPr>
            <w:tcW w:w="14092" w:type="dxa"/>
            <w:tcBorders>
              <w:top w:val="single" w:sz="4" w:space="0" w:color="auto"/>
              <w:left w:val="single" w:sz="4" w:space="0" w:color="auto"/>
              <w:bottom w:val="nil"/>
              <w:right w:val="single" w:sz="4" w:space="0" w:color="auto"/>
            </w:tcBorders>
          </w:tcPr>
          <w:p w14:paraId="56416D8A" w14:textId="77777777" w:rsidR="005E5D65" w:rsidRDefault="005E5D65" w:rsidP="00600255">
            <w:pPr>
              <w:pStyle w:val="Betreff"/>
              <w:spacing w:before="0" w:after="0" w:line="240" w:lineRule="auto"/>
            </w:pPr>
            <w:r>
              <w:t>Allgemeine Bemerkungen / Remarques générales / Osservazioni generali:</w:t>
            </w:r>
          </w:p>
        </w:tc>
        <w:tc>
          <w:tcPr>
            <w:tcW w:w="532" w:type="dxa"/>
            <w:tcBorders>
              <w:top w:val="nil"/>
              <w:left w:val="single" w:sz="4" w:space="0" w:color="auto"/>
              <w:bottom w:val="nil"/>
              <w:right w:val="nil"/>
            </w:tcBorders>
            <w:shd w:val="clear" w:color="auto" w:fill="auto"/>
          </w:tcPr>
          <w:p w14:paraId="2714271E" w14:textId="77777777" w:rsidR="005E5D65" w:rsidRDefault="005E5D65" w:rsidP="00600255">
            <w:pPr>
              <w:pStyle w:val="Betreff"/>
              <w:widowControl/>
              <w:spacing w:before="0" w:after="0" w:line="240" w:lineRule="auto"/>
            </w:pPr>
          </w:p>
        </w:tc>
      </w:tr>
      <w:tr w:rsidR="005E5D65" w14:paraId="2634C5DB" w14:textId="77777777" w:rsidTr="00600255">
        <w:trPr>
          <w:cantSplit/>
          <w:trHeight w:val="1134"/>
          <w:tblHeader/>
        </w:trPr>
        <w:tc>
          <w:tcPr>
            <w:tcW w:w="14092" w:type="dxa"/>
            <w:tcBorders>
              <w:top w:val="nil"/>
              <w:left w:val="single" w:sz="4" w:space="0" w:color="auto"/>
              <w:bottom w:val="single" w:sz="4" w:space="0" w:color="auto"/>
              <w:right w:val="single" w:sz="4" w:space="0" w:color="auto"/>
            </w:tcBorders>
          </w:tcPr>
          <w:p w14:paraId="509FC301" w14:textId="1C08CC91" w:rsidR="00E800A1" w:rsidRDefault="00E800A1" w:rsidP="00E800A1">
            <w:pPr>
              <w:pStyle w:val="Listenabsatz"/>
              <w:numPr>
                <w:ilvl w:val="0"/>
                <w:numId w:val="16"/>
              </w:numPr>
              <w:spacing w:after="120"/>
              <w:contextualSpacing w:val="0"/>
            </w:pPr>
            <w:r w:rsidRPr="00015BB8">
              <w:rPr>
                <w:u w:val="single"/>
              </w:rPr>
              <w:t xml:space="preserve">Wir unterstützen die Stellungnahme der </w:t>
            </w:r>
            <w:r>
              <w:rPr>
                <w:u w:val="single"/>
              </w:rPr>
              <w:t xml:space="preserve">Konferenz Kantonaler </w:t>
            </w:r>
            <w:r w:rsidRPr="00015BB8">
              <w:rPr>
                <w:u w:val="single"/>
              </w:rPr>
              <w:t xml:space="preserve">Energiedirektoren </w:t>
            </w:r>
            <w:r>
              <w:rPr>
                <w:u w:val="single"/>
              </w:rPr>
              <w:t xml:space="preserve">(EnDK) </w:t>
            </w:r>
            <w:r w:rsidRPr="00015BB8">
              <w:rPr>
                <w:u w:val="single"/>
              </w:rPr>
              <w:t>vom 2. Dezember 2022</w:t>
            </w:r>
            <w:r w:rsidRPr="00015BB8">
              <w:t xml:space="preserve">, die unter Einbezug der Konferenz </w:t>
            </w:r>
            <w:r>
              <w:t>K</w:t>
            </w:r>
            <w:r w:rsidRPr="00015BB8">
              <w:t>antonaler Volkswirtschaftsdirektor</w:t>
            </w:r>
            <w:r>
              <w:t>inn</w:t>
            </w:r>
            <w:r w:rsidRPr="00015BB8">
              <w:t xml:space="preserve">en </w:t>
            </w:r>
            <w:r>
              <w:t xml:space="preserve">und </w:t>
            </w:r>
            <w:r w:rsidRPr="00015BB8">
              <w:t>Volkswirtschaftsdirektoren, der Bau-, Planungs- und Umweltdirektoren</w:t>
            </w:r>
            <w:r>
              <w:t>-K</w:t>
            </w:r>
            <w:r w:rsidRPr="00015BB8">
              <w:t xml:space="preserve">onferenz, </w:t>
            </w:r>
            <w:r w:rsidRPr="002F357F">
              <w:t>der</w:t>
            </w:r>
            <w:r>
              <w:t> </w:t>
            </w:r>
            <w:r w:rsidRPr="002F357F">
              <w:t>Konferenz der kantonalen Gesundheitsdirektorinnen und -direktoren, der Konferenz der Kantonalen</w:t>
            </w:r>
            <w:r w:rsidRPr="00015BB8">
              <w:t xml:space="preserve"> Justiz- und Polizeidirektorinnen und -direktoren, der Regierungskonferenz Militär, Zivilschutz und Feuerwehr, der</w:t>
            </w:r>
            <w:r>
              <w:t xml:space="preserve"> </w:t>
            </w:r>
            <w:r w:rsidRPr="00015BB8">
              <w:t xml:space="preserve">Konferenz der </w:t>
            </w:r>
            <w:r>
              <w:t>k</w:t>
            </w:r>
            <w:r w:rsidRPr="00015BB8">
              <w:t>antonalen Sozialdirektorinnen und Sozialdi</w:t>
            </w:r>
            <w:r>
              <w:t>rektoren sowie der Konferenz der k</w:t>
            </w:r>
            <w:r w:rsidRPr="00015BB8">
              <w:t>antonalen Landwirtschaftsdirektoren erarbeitet wurde.</w:t>
            </w:r>
          </w:p>
          <w:p w14:paraId="3B011917" w14:textId="77777777" w:rsidR="005E5D65" w:rsidRPr="00056A1C" w:rsidRDefault="005E5D65" w:rsidP="00E800A1">
            <w:pPr>
              <w:pStyle w:val="Listenabsatz"/>
              <w:numPr>
                <w:ilvl w:val="0"/>
                <w:numId w:val="16"/>
              </w:numPr>
              <w:spacing w:before="240"/>
              <w:contextualSpacing w:val="0"/>
            </w:pPr>
            <w:r w:rsidRPr="00015BB8">
              <w:t xml:space="preserve">Aus Sicht des Kantons Zürich sind zudem weitere grundsätzliche Punkte sowie Änderungen zu einzelnen Artikeln der Verordnung zu berücksichtigen. Gerne lassen wir Ihnen </w:t>
            </w:r>
            <w:r>
              <w:t xml:space="preserve">diese </w:t>
            </w:r>
            <w:r w:rsidRPr="00015BB8">
              <w:t xml:space="preserve">als </w:t>
            </w:r>
            <w:r w:rsidRPr="00015BB8">
              <w:rPr>
                <w:u w:val="single"/>
              </w:rPr>
              <w:t>Ergänzung zur Stellungnahme der EnDK</w:t>
            </w:r>
            <w:r w:rsidRPr="00015BB8">
              <w:t xml:space="preserve"> </w:t>
            </w:r>
            <w:r>
              <w:t xml:space="preserve">im vorliegenden </w:t>
            </w:r>
            <w:r w:rsidRPr="00015BB8">
              <w:t>Antwortformular zukommen.</w:t>
            </w:r>
          </w:p>
        </w:tc>
        <w:tc>
          <w:tcPr>
            <w:tcW w:w="532" w:type="dxa"/>
            <w:tcBorders>
              <w:top w:val="nil"/>
              <w:left w:val="single" w:sz="4" w:space="0" w:color="auto"/>
              <w:bottom w:val="nil"/>
              <w:right w:val="nil"/>
            </w:tcBorders>
            <w:shd w:val="clear" w:color="auto" w:fill="auto"/>
          </w:tcPr>
          <w:p w14:paraId="342C653E" w14:textId="77777777" w:rsidR="005E5D65" w:rsidRDefault="005E5D65" w:rsidP="00600255">
            <w:pPr>
              <w:rPr>
                <w:b/>
              </w:rPr>
            </w:pPr>
          </w:p>
        </w:tc>
      </w:tr>
    </w:tbl>
    <w:p w14:paraId="51971D3A" w14:textId="77777777" w:rsidR="005E5D65" w:rsidRDefault="005E5D65" w:rsidP="005E5D65"/>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5E5D65" w14:paraId="43E10E5B" w14:textId="77777777" w:rsidTr="00600255">
        <w:trPr>
          <w:trHeight w:val="1054"/>
          <w:tblHeader/>
        </w:trPr>
        <w:tc>
          <w:tcPr>
            <w:tcW w:w="2943" w:type="dxa"/>
          </w:tcPr>
          <w:p w14:paraId="2D491C87" w14:textId="77777777" w:rsidR="005E5D65" w:rsidRDefault="005E5D65" w:rsidP="00600255">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68D83471" w14:textId="77777777" w:rsidR="005E5D65" w:rsidRDefault="005E5D65" w:rsidP="00600255">
            <w:pPr>
              <w:spacing w:after="0"/>
              <w:rPr>
                <w:b/>
              </w:rPr>
            </w:pPr>
            <w:r>
              <w:rPr>
                <w:b/>
              </w:rPr>
              <w:t>Antrag</w:t>
            </w:r>
            <w:r>
              <w:rPr>
                <w:b/>
              </w:rPr>
              <w:br/>
              <w:t>Proposition</w:t>
            </w:r>
            <w:r>
              <w:rPr>
                <w:b/>
              </w:rPr>
              <w:br/>
              <w:t>Richiesta</w:t>
            </w:r>
          </w:p>
        </w:tc>
        <w:tc>
          <w:tcPr>
            <w:tcW w:w="5620" w:type="dxa"/>
          </w:tcPr>
          <w:p w14:paraId="4960C53E" w14:textId="77777777" w:rsidR="005E5D65" w:rsidRDefault="005E5D65" w:rsidP="00600255">
            <w:pPr>
              <w:spacing w:after="0"/>
              <w:rPr>
                <w:b/>
              </w:rPr>
            </w:pPr>
            <w:r>
              <w:rPr>
                <w:b/>
              </w:rPr>
              <w:t>Begründung / Bemerkung</w:t>
            </w:r>
            <w:r>
              <w:rPr>
                <w:b/>
              </w:rPr>
              <w:br/>
              <w:t>Justification / Remarques</w:t>
            </w:r>
            <w:r>
              <w:rPr>
                <w:b/>
              </w:rPr>
              <w:br/>
              <w:t>Motivazione / Osservazioni</w:t>
            </w:r>
          </w:p>
        </w:tc>
        <w:tc>
          <w:tcPr>
            <w:tcW w:w="532" w:type="dxa"/>
            <w:tcBorders>
              <w:top w:val="nil"/>
              <w:bottom w:val="nil"/>
              <w:right w:val="nil"/>
            </w:tcBorders>
            <w:shd w:val="clear" w:color="auto" w:fill="auto"/>
          </w:tcPr>
          <w:p w14:paraId="207BAE79" w14:textId="77777777" w:rsidR="005E5D65" w:rsidRPr="00630F54" w:rsidRDefault="005E5D65" w:rsidP="00600255">
            <w:pPr>
              <w:widowControl/>
              <w:spacing w:after="0" w:line="240" w:lineRule="auto"/>
              <w:rPr>
                <w:b/>
              </w:rPr>
            </w:pPr>
          </w:p>
        </w:tc>
      </w:tr>
      <w:tr w:rsidR="005E5D65" w14:paraId="4AEB9C1C" w14:textId="77777777" w:rsidTr="00600255">
        <w:tc>
          <w:tcPr>
            <w:tcW w:w="2943" w:type="dxa"/>
          </w:tcPr>
          <w:p w14:paraId="2BF08DF4" w14:textId="58A2C001" w:rsidR="005E5D65" w:rsidRDefault="00876640" w:rsidP="00600255">
            <w:r>
              <w:t>Anhang </w:t>
            </w:r>
            <w:r w:rsidR="005E5D65">
              <w:t>1</w:t>
            </w:r>
          </w:p>
        </w:tc>
        <w:tc>
          <w:tcPr>
            <w:tcW w:w="5529" w:type="dxa"/>
          </w:tcPr>
          <w:p w14:paraId="46829BC3" w14:textId="77777777" w:rsidR="005E5D65" w:rsidRDefault="005E5D65" w:rsidP="00600255">
            <w:r w:rsidRPr="00700F2F">
              <w:rPr>
                <w:bCs/>
              </w:rPr>
              <w:t xml:space="preserve">Die </w:t>
            </w:r>
            <w:r>
              <w:rPr>
                <w:bCs/>
              </w:rPr>
              <w:t xml:space="preserve">bei </w:t>
            </w:r>
            <w:r w:rsidRPr="00700F2F">
              <w:rPr>
                <w:bCs/>
              </w:rPr>
              <w:t>Alters- und Pflegeheimen gewährten Ausnahmen s</w:t>
            </w:r>
            <w:r>
              <w:rPr>
                <w:bCs/>
              </w:rPr>
              <w:t>oll</w:t>
            </w:r>
            <w:r w:rsidRPr="00700F2F">
              <w:rPr>
                <w:bCs/>
              </w:rPr>
              <w:t>en auch für sozialmedizinische Einrichtungen (IV-Einrichtungen</w:t>
            </w:r>
            <w:r>
              <w:rPr>
                <w:bCs/>
              </w:rPr>
              <w:t xml:space="preserve"> usw.) gelten.</w:t>
            </w:r>
          </w:p>
        </w:tc>
        <w:tc>
          <w:tcPr>
            <w:tcW w:w="5620" w:type="dxa"/>
          </w:tcPr>
          <w:p w14:paraId="1B9E64AE" w14:textId="77777777" w:rsidR="005E5D65" w:rsidRPr="0006775E" w:rsidRDefault="005E5D65" w:rsidP="00600255">
            <w:r w:rsidRPr="00700F2F">
              <w:rPr>
                <w:bCs/>
              </w:rPr>
              <w:t>Sozialmedizinische Einrichtungen (IV-Einrichtungen usw.) sind bezüglich Ausnahmen gleich zu behandeln wie Alters- und Pflegeheime.</w:t>
            </w:r>
          </w:p>
        </w:tc>
        <w:tc>
          <w:tcPr>
            <w:tcW w:w="532" w:type="dxa"/>
            <w:tcBorders>
              <w:top w:val="nil"/>
              <w:bottom w:val="nil"/>
              <w:right w:val="nil"/>
            </w:tcBorders>
            <w:shd w:val="clear" w:color="auto" w:fill="auto"/>
          </w:tcPr>
          <w:p w14:paraId="26891CB6" w14:textId="77777777" w:rsidR="005E5D65" w:rsidRDefault="005E5D65" w:rsidP="00600255">
            <w:pPr>
              <w:rPr>
                <w:b/>
              </w:rPr>
            </w:pPr>
          </w:p>
          <w:p w14:paraId="751F401D" w14:textId="77777777" w:rsidR="005E5D65" w:rsidRPr="00630F54" w:rsidRDefault="005E5D65" w:rsidP="00600255">
            <w:pPr>
              <w:rPr>
                <w:b/>
              </w:rPr>
            </w:pPr>
          </w:p>
        </w:tc>
      </w:tr>
      <w:tr w:rsidR="005E5D65" w14:paraId="01C549BB" w14:textId="77777777" w:rsidTr="00600255">
        <w:tc>
          <w:tcPr>
            <w:tcW w:w="2943" w:type="dxa"/>
          </w:tcPr>
          <w:p w14:paraId="4BD0B683" w14:textId="5E13E884" w:rsidR="005E5D65" w:rsidRDefault="00876640" w:rsidP="00600255">
            <w:r>
              <w:t>Anhang </w:t>
            </w:r>
            <w:r w:rsidR="005E5D65">
              <w:t>1</w:t>
            </w:r>
          </w:p>
        </w:tc>
        <w:tc>
          <w:tcPr>
            <w:tcW w:w="5529" w:type="dxa"/>
          </w:tcPr>
          <w:p w14:paraId="20F69F5A" w14:textId="5E5A0321" w:rsidR="005E5D65" w:rsidRDefault="005E5D65" w:rsidP="00600255">
            <w:r>
              <w:rPr>
                <w:bCs/>
              </w:rPr>
              <w:t xml:space="preserve">Die Beschränkungen im Bereich von Wellness sind zu überarbeiten. Nur </w:t>
            </w:r>
            <w:r w:rsidRPr="00362129">
              <w:rPr>
                <w:bCs/>
              </w:rPr>
              <w:t xml:space="preserve">Bereiche, die einen konkreten Bezug zur gesundheitlichen Rehabilitation nachweisen können, sind von den Verwendungsbeschränkungen im </w:t>
            </w:r>
            <w:r w:rsidR="00876640">
              <w:rPr>
                <w:bCs/>
              </w:rPr>
              <w:lastRenderedPageBreak/>
              <w:t>Eskalationsschritt </w:t>
            </w:r>
            <w:r>
              <w:rPr>
                <w:bCs/>
              </w:rPr>
              <w:t xml:space="preserve">1 ganz </w:t>
            </w:r>
            <w:r w:rsidRPr="00362129">
              <w:rPr>
                <w:bCs/>
              </w:rPr>
              <w:t>auszunehmen.</w:t>
            </w:r>
          </w:p>
        </w:tc>
        <w:tc>
          <w:tcPr>
            <w:tcW w:w="5620" w:type="dxa"/>
          </w:tcPr>
          <w:p w14:paraId="304BF86B" w14:textId="2258CE9C" w:rsidR="005E5D65" w:rsidRPr="0006775E" w:rsidRDefault="005E5D65" w:rsidP="00600255">
            <w:r w:rsidRPr="00362129">
              <w:rPr>
                <w:bCs/>
              </w:rPr>
              <w:lastRenderedPageBreak/>
              <w:t xml:space="preserve">Es ist nicht ersichtlich, weshalb Wellnessbereiche von den Verwendungsbeschränkungen im </w:t>
            </w:r>
            <w:r w:rsidR="00876640">
              <w:rPr>
                <w:bCs/>
              </w:rPr>
              <w:t>Eskalationsschritt </w:t>
            </w:r>
            <w:r>
              <w:rPr>
                <w:bCs/>
              </w:rPr>
              <w:t>1 ausgenommen sein soll</w:t>
            </w:r>
            <w:r w:rsidRPr="00362129">
              <w:rPr>
                <w:bCs/>
              </w:rPr>
              <w:t>en und der Betrieb von Whirlpools, Körperbräunungsgeräten, Saunas, Infrarotkabinen, Dampfbädern, Massagesesseln und weitere</w:t>
            </w:r>
            <w:r w:rsidR="00876640">
              <w:rPr>
                <w:bCs/>
              </w:rPr>
              <w:t>n</w:t>
            </w:r>
            <w:r w:rsidRPr="00362129">
              <w:rPr>
                <w:bCs/>
              </w:rPr>
              <w:t xml:space="preserve"> elektrisch </w:t>
            </w:r>
            <w:r w:rsidRPr="00362129">
              <w:rPr>
                <w:bCs/>
              </w:rPr>
              <w:lastRenderedPageBreak/>
              <w:t>betriebene</w:t>
            </w:r>
            <w:r w:rsidR="00876640">
              <w:rPr>
                <w:bCs/>
              </w:rPr>
              <w:t>n</w:t>
            </w:r>
            <w:r w:rsidRPr="00362129">
              <w:rPr>
                <w:bCs/>
              </w:rPr>
              <w:t xml:space="preserve"> Wellnessanlagen im öffentlich zugänglichen</w:t>
            </w:r>
            <w:r>
              <w:rPr>
                <w:bCs/>
              </w:rPr>
              <w:t xml:space="preserve"> (gewerblichen)</w:t>
            </w:r>
            <w:r w:rsidRPr="00362129">
              <w:rPr>
                <w:bCs/>
              </w:rPr>
              <w:t xml:space="preserve"> Bereich erst im </w:t>
            </w:r>
            <w:r w:rsidR="00876640">
              <w:rPr>
                <w:bCs/>
              </w:rPr>
              <w:t>Eskalationsschritt </w:t>
            </w:r>
            <w:r>
              <w:rPr>
                <w:bCs/>
              </w:rPr>
              <w:t>3 begrenzt werden soll</w:t>
            </w:r>
            <w:r w:rsidRPr="00362129">
              <w:rPr>
                <w:bCs/>
              </w:rPr>
              <w:t xml:space="preserve">. </w:t>
            </w:r>
          </w:p>
        </w:tc>
        <w:tc>
          <w:tcPr>
            <w:tcW w:w="532" w:type="dxa"/>
            <w:tcBorders>
              <w:top w:val="nil"/>
              <w:bottom w:val="nil"/>
              <w:right w:val="nil"/>
            </w:tcBorders>
            <w:shd w:val="clear" w:color="auto" w:fill="auto"/>
          </w:tcPr>
          <w:p w14:paraId="6D85E79A" w14:textId="77777777" w:rsidR="005E5D65" w:rsidRDefault="005E5D65" w:rsidP="00600255">
            <w:pPr>
              <w:rPr>
                <w:b/>
              </w:rPr>
            </w:pPr>
          </w:p>
          <w:p w14:paraId="4512EAC4" w14:textId="77777777" w:rsidR="005E5D65" w:rsidRPr="00630F54" w:rsidRDefault="005E5D65" w:rsidP="00600255">
            <w:pPr>
              <w:rPr>
                <w:b/>
              </w:rPr>
            </w:pPr>
          </w:p>
        </w:tc>
      </w:tr>
      <w:tr w:rsidR="005E5D65" w14:paraId="63BD1B0E" w14:textId="77777777" w:rsidTr="00600255">
        <w:tc>
          <w:tcPr>
            <w:tcW w:w="2943" w:type="dxa"/>
          </w:tcPr>
          <w:p w14:paraId="08AA4D53" w14:textId="77C90BEA" w:rsidR="005E5D65" w:rsidRDefault="00876640" w:rsidP="00600255">
            <w:r>
              <w:t>Anhang </w:t>
            </w:r>
            <w:r w:rsidR="005E5D65">
              <w:t>1</w:t>
            </w:r>
          </w:p>
        </w:tc>
        <w:tc>
          <w:tcPr>
            <w:tcW w:w="5529" w:type="dxa"/>
          </w:tcPr>
          <w:p w14:paraId="08651A16" w14:textId="77777777" w:rsidR="005E5D65" w:rsidRDefault="005E5D65" w:rsidP="00600255">
            <w:r w:rsidRPr="001E4AE9">
              <w:t>Discobeleuchtungen und Nebelanlagen in Diskotheken, Clubs und dergleichen sind wie andere Anwendungen in Freizeit- und Kulturbetrieben zu behandeln.</w:t>
            </w:r>
          </w:p>
        </w:tc>
        <w:tc>
          <w:tcPr>
            <w:tcW w:w="5620" w:type="dxa"/>
          </w:tcPr>
          <w:p w14:paraId="29A6798D" w14:textId="4BE86AF3" w:rsidR="005E5D65" w:rsidRPr="009120D4" w:rsidRDefault="005E5D65" w:rsidP="00600255">
            <w:r w:rsidRPr="001E4AE9">
              <w:t>Das Verbot von Discobeleuchtung und Nebelanlage</w:t>
            </w:r>
            <w:r>
              <w:t>n in Diskotheken, Clubs und der</w:t>
            </w:r>
            <w:r w:rsidRPr="001E4AE9">
              <w:t xml:space="preserve">gleichen im </w:t>
            </w:r>
            <w:r w:rsidR="00876640">
              <w:t>Eskalationsschritt </w:t>
            </w:r>
            <w:r>
              <w:t xml:space="preserve">3 </w:t>
            </w:r>
            <w:r w:rsidRPr="001E4AE9">
              <w:t xml:space="preserve">führt faktisch zu einer Schliessung dieser Betriebe. Da andere Freizeit- und Kulturbetriebe erst im nächsten </w:t>
            </w:r>
            <w:r w:rsidR="00876640">
              <w:t>Eskalationsschritt </w:t>
            </w:r>
            <w:r w:rsidRPr="001E4AE9">
              <w:t>verboten werden, erscheint uns das unverhältnismässig.</w:t>
            </w:r>
          </w:p>
        </w:tc>
        <w:tc>
          <w:tcPr>
            <w:tcW w:w="532" w:type="dxa"/>
            <w:tcBorders>
              <w:top w:val="nil"/>
              <w:bottom w:val="nil"/>
              <w:right w:val="nil"/>
            </w:tcBorders>
            <w:shd w:val="clear" w:color="auto" w:fill="auto"/>
          </w:tcPr>
          <w:p w14:paraId="7291F050" w14:textId="77777777" w:rsidR="005E5D65" w:rsidRPr="00630F54" w:rsidRDefault="005E5D65" w:rsidP="00600255">
            <w:pPr>
              <w:rPr>
                <w:b/>
              </w:rPr>
            </w:pPr>
          </w:p>
        </w:tc>
      </w:tr>
      <w:tr w:rsidR="005E5D65" w14:paraId="6FE34AB1" w14:textId="77777777" w:rsidTr="00600255">
        <w:tc>
          <w:tcPr>
            <w:tcW w:w="2943" w:type="dxa"/>
          </w:tcPr>
          <w:p w14:paraId="68C3DACD" w14:textId="48FEE7EC" w:rsidR="005E5D65" w:rsidRPr="00B11E91" w:rsidRDefault="00876640" w:rsidP="00600255">
            <w:r>
              <w:t>Anhang </w:t>
            </w:r>
            <w:r w:rsidR="005E5D65">
              <w:t>1</w:t>
            </w:r>
          </w:p>
        </w:tc>
        <w:tc>
          <w:tcPr>
            <w:tcW w:w="5529" w:type="dxa"/>
          </w:tcPr>
          <w:p w14:paraId="3CADC7D5" w14:textId="1450219B" w:rsidR="005E5D65" w:rsidRPr="00630F54" w:rsidRDefault="005E5D65" w:rsidP="00600255">
            <w:r w:rsidRPr="001E4AE9">
              <w:t xml:space="preserve">Das Mining von Kryptowährungen ist bereits im </w:t>
            </w:r>
            <w:r w:rsidR="00876640">
              <w:t>Eskalationsschritt </w:t>
            </w:r>
            <w:r>
              <w:t xml:space="preserve">1 </w:t>
            </w:r>
            <w:r w:rsidRPr="001E4AE9">
              <w:t>zu verbieten.</w:t>
            </w:r>
          </w:p>
        </w:tc>
        <w:tc>
          <w:tcPr>
            <w:tcW w:w="5620" w:type="dxa"/>
          </w:tcPr>
          <w:p w14:paraId="71D81CA7" w14:textId="77777777" w:rsidR="005E5D65" w:rsidRPr="00630F54" w:rsidRDefault="005E5D65" w:rsidP="00600255">
            <w:r w:rsidRPr="001E4AE9">
              <w:t>Das Mining von Kryptowährungen ist äusserst energieintensiv</w:t>
            </w:r>
            <w:r>
              <w:t>.</w:t>
            </w:r>
            <w:r w:rsidRPr="001E4AE9">
              <w:t xml:space="preserve"> </w:t>
            </w:r>
            <w:r>
              <w:t>Eine Einschränkung in diesem Bereich wirkt sich aufgrund der geringeren Bedeutung als Anlageklasse weniger stark auf konventionelle Finanzanlagen von privaten und öffentlichen Vermögen (z.B. Pensionskassen, private und berufliche Vorsorge, Fonds) aus.</w:t>
            </w:r>
            <w:r w:rsidRPr="001E4AE9">
              <w:t xml:space="preserve"> Deshalb ist es gerechtfertigt, diese Tätigkeit früher zu verbieten als andere wirtschaftliche Tätigkeiten.</w:t>
            </w:r>
          </w:p>
        </w:tc>
        <w:tc>
          <w:tcPr>
            <w:tcW w:w="532" w:type="dxa"/>
            <w:tcBorders>
              <w:top w:val="nil"/>
              <w:bottom w:val="nil"/>
              <w:right w:val="nil"/>
            </w:tcBorders>
            <w:shd w:val="clear" w:color="auto" w:fill="auto"/>
          </w:tcPr>
          <w:p w14:paraId="0AD0308D" w14:textId="77777777" w:rsidR="005E5D65" w:rsidRPr="00630F54" w:rsidRDefault="005E5D65" w:rsidP="00600255">
            <w:pPr>
              <w:rPr>
                <w:b/>
              </w:rPr>
            </w:pPr>
          </w:p>
        </w:tc>
      </w:tr>
      <w:tr w:rsidR="005E5D65" w14:paraId="12B3F589" w14:textId="77777777" w:rsidTr="00600255">
        <w:tc>
          <w:tcPr>
            <w:tcW w:w="2943" w:type="dxa"/>
          </w:tcPr>
          <w:p w14:paraId="7DB54E5A" w14:textId="7C993D6B" w:rsidR="005E5D65" w:rsidRPr="00D220E8" w:rsidRDefault="00876640" w:rsidP="00600255">
            <w:r>
              <w:t>Anhang </w:t>
            </w:r>
            <w:r w:rsidR="005E5D65">
              <w:t>1</w:t>
            </w:r>
          </w:p>
        </w:tc>
        <w:tc>
          <w:tcPr>
            <w:tcW w:w="5529" w:type="dxa"/>
          </w:tcPr>
          <w:p w14:paraId="2F8BBBD2" w14:textId="2CB98754" w:rsidR="005E5D65" w:rsidRPr="001E4AE9" w:rsidRDefault="005E5D65" w:rsidP="00600255">
            <w:r w:rsidRPr="001E4AE9">
              <w:t>Die Bestimmungen betreffend die Temperaturen in Kühl- und Tiefkühlschränken sind wie folgt zu ergänzen: «Ausgenommen sind die im Lebensmittelrecht (insbesondere in der Hygieneverordnung</w:t>
            </w:r>
            <w:r w:rsidR="00876640">
              <w:t xml:space="preserve"> EDI</w:t>
            </w:r>
            <w:r w:rsidRPr="001E4AE9">
              <w:t>, SR</w:t>
            </w:r>
            <w:r w:rsidR="00876640">
              <w:t> </w:t>
            </w:r>
            <w:r w:rsidRPr="001E4AE9">
              <w:t>817.024.1) sowie im Heilmittel- und Medizinalprodukterecht vorgegebenen</w:t>
            </w:r>
            <w:r>
              <w:t xml:space="preserve"> Temperaturvorschriften, die je</w:t>
            </w:r>
            <w:r w:rsidRPr="001E4AE9">
              <w:t>derzeit eingehalten werden müssen.»</w:t>
            </w:r>
          </w:p>
        </w:tc>
        <w:tc>
          <w:tcPr>
            <w:tcW w:w="5620" w:type="dxa"/>
          </w:tcPr>
          <w:p w14:paraId="1EB13B23" w14:textId="063FB79C" w:rsidR="005E5D65" w:rsidRDefault="005E5D65" w:rsidP="00600255">
            <w:r w:rsidRPr="001E4AE9">
              <w:t xml:space="preserve">Beim </w:t>
            </w:r>
            <w:r w:rsidR="00876640">
              <w:t>Eskalationsschritt </w:t>
            </w:r>
            <w:r>
              <w:t>1</w:t>
            </w:r>
            <w:r w:rsidRPr="001E4AE9">
              <w:t xml:space="preserve"> (und analog bei de</w:t>
            </w:r>
            <w:r>
              <w:t>n anderen Eskalationsschritten)</w:t>
            </w:r>
            <w:r w:rsidRPr="001E4AE9">
              <w:t xml:space="preserve"> werden Vorgaben zu den Mindesttemperaturen in privaten und gewerblichen Kühl- und Tiefkühlschränken gemacht. Ausnahmen sollen dort gelten, wo das Lebensmittelrecht Temperaturvorschriften macht, die dieser Verordnung vorgehen. Dieselbe Ausnahme muss auch im Gesundheitsversorgungsbereich gemacht werden, da es auch für die Logistik – d.</w:t>
            </w:r>
            <w:r w:rsidR="00876640">
              <w:t> </w:t>
            </w:r>
            <w:r w:rsidRPr="001E4AE9">
              <w:t xml:space="preserve">h. die Lagerung und den Transport – von Heilmitteln Temperaturvorgaben gibt, </w:t>
            </w:r>
            <w:r>
              <w:t>welche</w:t>
            </w:r>
            <w:r w:rsidRPr="001E4AE9">
              <w:t xml:space="preserve"> die Sicherheit und Wirksamkeit der Heilmittel gewährleisten. Auch diese Bestimmungen müssen dieser Verordnung zwingend vorgehen.</w:t>
            </w:r>
          </w:p>
        </w:tc>
        <w:tc>
          <w:tcPr>
            <w:tcW w:w="532" w:type="dxa"/>
            <w:tcBorders>
              <w:top w:val="nil"/>
              <w:bottom w:val="nil"/>
              <w:right w:val="nil"/>
            </w:tcBorders>
            <w:shd w:val="clear" w:color="auto" w:fill="auto"/>
          </w:tcPr>
          <w:p w14:paraId="10366B02" w14:textId="77777777" w:rsidR="005E5D65" w:rsidRDefault="005E5D65" w:rsidP="00600255">
            <w:pPr>
              <w:rPr>
                <w:b/>
              </w:rPr>
            </w:pPr>
          </w:p>
        </w:tc>
      </w:tr>
      <w:tr w:rsidR="005E5D65" w14:paraId="50ECA239" w14:textId="77777777" w:rsidTr="00600255">
        <w:tc>
          <w:tcPr>
            <w:tcW w:w="2943" w:type="dxa"/>
          </w:tcPr>
          <w:p w14:paraId="1CDF3907" w14:textId="3AEA7011" w:rsidR="005E5D65" w:rsidRPr="00630F54" w:rsidRDefault="00876640" w:rsidP="00600255">
            <w:r>
              <w:lastRenderedPageBreak/>
              <w:t>Anhang </w:t>
            </w:r>
            <w:r w:rsidR="005E5D65">
              <w:t>1</w:t>
            </w:r>
          </w:p>
        </w:tc>
        <w:tc>
          <w:tcPr>
            <w:tcW w:w="5529" w:type="dxa"/>
          </w:tcPr>
          <w:p w14:paraId="3A9B741F" w14:textId="6BC13BFF" w:rsidR="005E5D65" w:rsidRPr="00630F54" w:rsidRDefault="005E5D65" w:rsidP="00600255">
            <w:r>
              <w:t>D</w:t>
            </w:r>
            <w:r w:rsidRPr="001E4AE9">
              <w:t xml:space="preserve">ie Formulierung </w:t>
            </w:r>
            <w:r>
              <w:t>betreffend die Erzeugung von Warmwasser im</w:t>
            </w:r>
            <w:r w:rsidRPr="001E4AE9">
              <w:t xml:space="preserve"> </w:t>
            </w:r>
            <w:r w:rsidR="00876640">
              <w:t>Eskalationsschritt </w:t>
            </w:r>
            <w:r w:rsidRPr="001E4AE9">
              <w:t>2</w:t>
            </w:r>
            <w:r>
              <w:t xml:space="preserve"> ist zu überprüfen.</w:t>
            </w:r>
          </w:p>
        </w:tc>
        <w:tc>
          <w:tcPr>
            <w:tcW w:w="5620" w:type="dxa"/>
          </w:tcPr>
          <w:p w14:paraId="78C29409" w14:textId="6B08C9E8" w:rsidR="005E5D65" w:rsidRPr="00630F54" w:rsidRDefault="005E5D65" w:rsidP="00600255">
            <w:r w:rsidRPr="001E4AE9">
              <w:t xml:space="preserve">Insbesondere ältere Warmwasserverteilungen neigen bei einer </w:t>
            </w:r>
            <w:r w:rsidR="00523749">
              <w:t>Senkung</w:t>
            </w:r>
            <w:r w:rsidRPr="001E4AE9">
              <w:t xml:space="preserve"> der Warmwassertemperatur des Boi</w:t>
            </w:r>
            <w:r>
              <w:t xml:space="preserve">lers auf </w:t>
            </w:r>
            <w:r w:rsidR="00523749">
              <w:t>höchstens</w:t>
            </w:r>
            <w:r>
              <w:t xml:space="preserve"> 60</w:t>
            </w:r>
            <w:r w:rsidR="00523749">
              <w:t> </w:t>
            </w:r>
            <w:r>
              <w:t>Grad Celsius</w:t>
            </w:r>
            <w:r w:rsidRPr="001E4AE9">
              <w:t xml:space="preserve"> zur vermehrten Verkeimung mit Legionellen. Daher hat der Schweizerische Verein des Gas- und Wasserfachs, in der Überarbeitung des Regelwerk</w:t>
            </w:r>
            <w:r w:rsidR="00523749">
              <w:t>s</w:t>
            </w:r>
            <w:r w:rsidRPr="001E4AE9">
              <w:t xml:space="preserve"> W3/E3, Richtlinien für Hygiene in Trinkwasserinstallationen, unter Punkt</w:t>
            </w:r>
            <w:r w:rsidR="00523749">
              <w:t> </w:t>
            </w:r>
            <w:r w:rsidRPr="001E4AE9">
              <w:t xml:space="preserve">10 seine Vorgaben auf </w:t>
            </w:r>
            <w:r w:rsidR="00523749">
              <w:t>höchstens</w:t>
            </w:r>
            <w:r w:rsidRPr="001E4AE9">
              <w:t xml:space="preserve"> 60</w:t>
            </w:r>
            <w:r w:rsidR="00523749">
              <w:t> </w:t>
            </w:r>
            <w:r w:rsidRPr="001E4AE9">
              <w:t xml:space="preserve">Grad </w:t>
            </w:r>
            <w:r>
              <w:t xml:space="preserve">Celsius </w:t>
            </w:r>
            <w:r w:rsidRPr="001E4AE9">
              <w:t>erhöht.</w:t>
            </w:r>
          </w:p>
        </w:tc>
        <w:tc>
          <w:tcPr>
            <w:tcW w:w="532" w:type="dxa"/>
            <w:tcBorders>
              <w:top w:val="nil"/>
              <w:bottom w:val="nil"/>
              <w:right w:val="nil"/>
            </w:tcBorders>
            <w:shd w:val="clear" w:color="auto" w:fill="auto"/>
          </w:tcPr>
          <w:p w14:paraId="5BB6281C" w14:textId="77777777" w:rsidR="005E5D65" w:rsidRDefault="005E5D65" w:rsidP="00600255">
            <w:pPr>
              <w:rPr>
                <w:b/>
              </w:rPr>
            </w:pPr>
          </w:p>
          <w:p w14:paraId="762DAA56" w14:textId="77777777" w:rsidR="005E5D65" w:rsidRPr="00630F54" w:rsidRDefault="005E5D65" w:rsidP="00600255">
            <w:pPr>
              <w:rPr>
                <w:b/>
              </w:rPr>
            </w:pPr>
          </w:p>
        </w:tc>
      </w:tr>
      <w:tr w:rsidR="005E5D65" w14:paraId="791989BC" w14:textId="77777777" w:rsidTr="00600255">
        <w:tc>
          <w:tcPr>
            <w:tcW w:w="2943" w:type="dxa"/>
          </w:tcPr>
          <w:p w14:paraId="21183DA6" w14:textId="4B7FE3C6" w:rsidR="005E5D65" w:rsidRDefault="00876640" w:rsidP="00600255">
            <w:pPr>
              <w:pStyle w:val="Anhang"/>
              <w:tabs>
                <w:tab w:val="clear" w:pos="1276"/>
              </w:tabs>
              <w:spacing w:before="0" w:after="260"/>
              <w:outlineLvl w:val="9"/>
              <w:rPr>
                <w:lang w:val="de-CH" w:eastAsia="de-CH"/>
              </w:rPr>
            </w:pPr>
            <w:r>
              <w:rPr>
                <w:lang w:val="de-CH" w:eastAsia="de-CH"/>
              </w:rPr>
              <w:t>Anhang </w:t>
            </w:r>
            <w:r w:rsidR="005E5D65">
              <w:rPr>
                <w:lang w:val="de-CH" w:eastAsia="de-CH"/>
              </w:rPr>
              <w:t>2</w:t>
            </w:r>
          </w:p>
        </w:tc>
        <w:tc>
          <w:tcPr>
            <w:tcW w:w="5529" w:type="dxa"/>
          </w:tcPr>
          <w:p w14:paraId="3A01D415" w14:textId="0BA6CF1A" w:rsidR="005E5D65" w:rsidRDefault="005E5D65" w:rsidP="00600255">
            <w:r w:rsidRPr="001E4AE9">
              <w:t xml:space="preserve">Bei einer </w:t>
            </w:r>
            <w:r w:rsidR="00523749">
              <w:t>Verringerung</w:t>
            </w:r>
            <w:r w:rsidRPr="001E4AE9">
              <w:t xml:space="preserve"> der Beleuchtungsstärken auf 100</w:t>
            </w:r>
            <w:r w:rsidR="00523749">
              <w:t> </w:t>
            </w:r>
            <w:r w:rsidRPr="001E4AE9">
              <w:t>Lux für Bereiche ohne Arbeitsplätze sind die</w:t>
            </w:r>
            <w:r>
              <w:t xml:space="preserve"> weit verbreiteten</w:t>
            </w:r>
            <w:r w:rsidRPr="001E4AE9">
              <w:t xml:space="preserve"> Beleuchtungsvorschriften EN</w:t>
            </w:r>
            <w:r w:rsidR="00523749">
              <w:t> </w:t>
            </w:r>
            <w:r w:rsidRPr="001E4AE9">
              <w:t>12464-1 und SIA</w:t>
            </w:r>
            <w:r w:rsidR="00523749">
              <w:t> </w:t>
            </w:r>
            <w:r w:rsidRPr="001E4AE9">
              <w:t xml:space="preserve">387/4 </w:t>
            </w:r>
            <w:r>
              <w:t>zu übersteuern</w:t>
            </w:r>
            <w:r w:rsidRPr="001E4AE9">
              <w:t>.</w:t>
            </w:r>
          </w:p>
        </w:tc>
        <w:tc>
          <w:tcPr>
            <w:tcW w:w="5620" w:type="dxa"/>
          </w:tcPr>
          <w:p w14:paraId="73320E1B" w14:textId="6D0C9455" w:rsidR="005E5D65" w:rsidRDefault="005E5D65" w:rsidP="00600255">
            <w:r w:rsidRPr="001E4AE9">
              <w:t xml:space="preserve">Ohne temporäre </w:t>
            </w:r>
            <w:r>
              <w:t>Übersteuerung</w:t>
            </w:r>
            <w:r w:rsidRPr="001E4AE9">
              <w:t xml:space="preserve"> der Beleuchtungsvorschriften EN</w:t>
            </w:r>
            <w:r w:rsidR="00523749">
              <w:t> </w:t>
            </w:r>
            <w:r w:rsidRPr="001E4AE9">
              <w:t>12464-1 und SIA</w:t>
            </w:r>
            <w:r w:rsidR="00523749">
              <w:t> </w:t>
            </w:r>
            <w:r w:rsidRPr="001E4AE9">
              <w:t xml:space="preserve">387/4 durch den Bundesrat ist eine </w:t>
            </w:r>
            <w:r w:rsidR="00523749">
              <w:t>Verringerung</w:t>
            </w:r>
            <w:r w:rsidRPr="001E4AE9">
              <w:t xml:space="preserve"> der Beleuchtungsstärken auf 100</w:t>
            </w:r>
            <w:r w:rsidR="00523749">
              <w:t> </w:t>
            </w:r>
            <w:r w:rsidRPr="001E4AE9">
              <w:t>Lux für die Bereiche ohne Arbeitsplätze nicht möglich.</w:t>
            </w:r>
          </w:p>
        </w:tc>
        <w:tc>
          <w:tcPr>
            <w:tcW w:w="532" w:type="dxa"/>
            <w:tcBorders>
              <w:top w:val="nil"/>
              <w:bottom w:val="nil"/>
              <w:right w:val="nil"/>
            </w:tcBorders>
            <w:shd w:val="clear" w:color="auto" w:fill="auto"/>
          </w:tcPr>
          <w:p w14:paraId="625411E6" w14:textId="77777777" w:rsidR="005E5D65" w:rsidRDefault="005E5D65" w:rsidP="00600255">
            <w:pPr>
              <w:rPr>
                <w:b/>
              </w:rPr>
            </w:pPr>
          </w:p>
          <w:p w14:paraId="4E3F9A91" w14:textId="77777777" w:rsidR="005E5D65" w:rsidRDefault="005E5D65" w:rsidP="00600255">
            <w:pPr>
              <w:rPr>
                <w:b/>
              </w:rPr>
            </w:pPr>
          </w:p>
        </w:tc>
      </w:tr>
    </w:tbl>
    <w:p w14:paraId="63C5E210" w14:textId="77777777" w:rsidR="005E5D65" w:rsidRPr="00630F54" w:rsidRDefault="005E5D65" w:rsidP="005E5D65">
      <w:pPr>
        <w:pStyle w:val="berschrift1"/>
      </w:pPr>
      <w:bookmarkStart w:id="4" w:name="_Toc120091574"/>
      <w:r w:rsidRPr="00630F54">
        <w:lastRenderedPageBreak/>
        <w:t>Verordnung über die Sofortkontingentierung elektrischer Energie inkl. Kommentar / Ordonnance sur le contingentement immédiat de l’énergie électrique et commentaire y relatif / Ordinanza sul contingentamento immediato dell’energia elettrica</w:t>
      </w:r>
      <w:bookmarkEnd w:id="4"/>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5E5D65" w:rsidRPr="007D4776" w14:paraId="739340D5" w14:textId="77777777" w:rsidTr="00600255">
        <w:trPr>
          <w:tblHeader/>
        </w:trPr>
        <w:tc>
          <w:tcPr>
            <w:tcW w:w="14092" w:type="dxa"/>
            <w:tcBorders>
              <w:top w:val="single" w:sz="4" w:space="0" w:color="auto"/>
              <w:left w:val="single" w:sz="4" w:space="0" w:color="auto"/>
              <w:bottom w:val="nil"/>
              <w:right w:val="single" w:sz="4" w:space="0" w:color="auto"/>
            </w:tcBorders>
          </w:tcPr>
          <w:p w14:paraId="397E67E3" w14:textId="77777777" w:rsidR="005E5D65" w:rsidRPr="007D4776" w:rsidRDefault="005E5D65" w:rsidP="00600255">
            <w:pPr>
              <w:pStyle w:val="Betreff"/>
              <w:spacing w:before="0" w:after="0" w:line="240" w:lineRule="auto"/>
            </w:pPr>
            <w:r w:rsidRPr="007D4776">
              <w:t>Allgemeine Bemerkungen / Remarques générales / Osservazioni generali:</w:t>
            </w:r>
          </w:p>
          <w:p w14:paraId="3DB63F95" w14:textId="77777777" w:rsidR="00523749" w:rsidRDefault="00523749" w:rsidP="00523749">
            <w:pPr>
              <w:pStyle w:val="Listenabsatz"/>
              <w:numPr>
                <w:ilvl w:val="0"/>
                <w:numId w:val="16"/>
              </w:numPr>
              <w:spacing w:after="120"/>
              <w:contextualSpacing w:val="0"/>
            </w:pPr>
            <w:r w:rsidRPr="00015BB8">
              <w:rPr>
                <w:u w:val="single"/>
              </w:rPr>
              <w:t xml:space="preserve">Wir unterstützen die Stellungnahme der </w:t>
            </w:r>
            <w:r>
              <w:rPr>
                <w:u w:val="single"/>
              </w:rPr>
              <w:t xml:space="preserve">Konferenz Kantonaler </w:t>
            </w:r>
            <w:r w:rsidRPr="00015BB8">
              <w:rPr>
                <w:u w:val="single"/>
              </w:rPr>
              <w:t xml:space="preserve">Energiedirektoren </w:t>
            </w:r>
            <w:r>
              <w:rPr>
                <w:u w:val="single"/>
              </w:rPr>
              <w:t xml:space="preserve">(EnDK) </w:t>
            </w:r>
            <w:r w:rsidRPr="00015BB8">
              <w:rPr>
                <w:u w:val="single"/>
              </w:rPr>
              <w:t>vom 2. Dezember 2022</w:t>
            </w:r>
            <w:r w:rsidRPr="00015BB8">
              <w:t xml:space="preserve">, die unter Einbezug der Konferenz </w:t>
            </w:r>
            <w:r>
              <w:t>K</w:t>
            </w:r>
            <w:r w:rsidRPr="00015BB8">
              <w:t>antonaler Volkswirtschaftsdirektor</w:t>
            </w:r>
            <w:r>
              <w:t>inn</w:t>
            </w:r>
            <w:r w:rsidRPr="00015BB8">
              <w:t xml:space="preserve">en </w:t>
            </w:r>
            <w:r>
              <w:t xml:space="preserve">und </w:t>
            </w:r>
            <w:r w:rsidRPr="00015BB8">
              <w:t>Volkswirtschaftsdirektoren, der Bau-, Planungs- und Umweltdirektoren</w:t>
            </w:r>
            <w:r>
              <w:t>-K</w:t>
            </w:r>
            <w:r w:rsidRPr="00015BB8">
              <w:t xml:space="preserve">onferenz, </w:t>
            </w:r>
            <w:r w:rsidRPr="002F357F">
              <w:t>der</w:t>
            </w:r>
            <w:r>
              <w:t> </w:t>
            </w:r>
            <w:r w:rsidRPr="002F357F">
              <w:t>Konferenz der kantonalen Gesundheitsdirektorinnen und -direktoren, der Konferenz der Kantonalen</w:t>
            </w:r>
            <w:r w:rsidRPr="00015BB8">
              <w:t xml:space="preserve"> Justiz- und Polizeidirektorinnen und -direktoren, der Regierungskonferenz Militär, Zivilschutz und Feuerwehr, der</w:t>
            </w:r>
            <w:r>
              <w:t xml:space="preserve"> </w:t>
            </w:r>
            <w:r w:rsidRPr="00015BB8">
              <w:t xml:space="preserve">Konferenz der </w:t>
            </w:r>
            <w:r>
              <w:t>k</w:t>
            </w:r>
            <w:r w:rsidRPr="00015BB8">
              <w:t>antonalen Sozialdirektorinnen und Sozialdi</w:t>
            </w:r>
            <w:r>
              <w:t>rektoren sowie der Konferenz der k</w:t>
            </w:r>
            <w:r w:rsidRPr="00015BB8">
              <w:t>antonalen Landwirtschaftsdirektoren erarbeitet wurde.</w:t>
            </w:r>
          </w:p>
          <w:p w14:paraId="4114D339" w14:textId="72A1B99F" w:rsidR="005E5D65" w:rsidRDefault="005E5D65" w:rsidP="005E5D65">
            <w:pPr>
              <w:pStyle w:val="Listenabsatz"/>
              <w:numPr>
                <w:ilvl w:val="0"/>
                <w:numId w:val="16"/>
              </w:numPr>
              <w:spacing w:after="120"/>
              <w:contextualSpacing w:val="0"/>
            </w:pPr>
            <w:r>
              <w:t xml:space="preserve">Insbesondere unterstützen wir die </w:t>
            </w:r>
            <w:r w:rsidRPr="004B1EE3">
              <w:rPr>
                <w:u w:val="single"/>
              </w:rPr>
              <w:t xml:space="preserve">Schaffung eines neuen </w:t>
            </w:r>
            <w:r w:rsidR="0089323D">
              <w:rPr>
                <w:u w:val="single"/>
              </w:rPr>
              <w:t>Art. </w:t>
            </w:r>
            <w:r w:rsidRPr="004B1EE3">
              <w:rPr>
                <w:u w:val="single"/>
              </w:rPr>
              <w:t>2a «Ausnahmen»</w:t>
            </w:r>
            <w:r w:rsidRPr="004B1EE3">
              <w:t>, in dem Entsorgungs- sowie Wasserversorgungsanlagen, stationäre Gesundheitseinrichtungen, Tie</w:t>
            </w:r>
            <w:r>
              <w:t>rhaltung in Ställen sowie kriti</w:t>
            </w:r>
            <w:r w:rsidRPr="004B1EE3">
              <w:t xml:space="preserve">sche Einrichtungen von Telekommunikationsbetreibern von der </w:t>
            </w:r>
            <w:r>
              <w:t>(Sofort-)</w:t>
            </w:r>
            <w:r w:rsidRPr="004B1EE3">
              <w:t xml:space="preserve">Kontingentierung ausgenommen oder mit einem </w:t>
            </w:r>
            <w:r>
              <w:t>verminderten</w:t>
            </w:r>
            <w:r w:rsidRPr="004B1EE3">
              <w:t xml:space="preserve"> Prozentsatz kontingentiert werden.</w:t>
            </w:r>
          </w:p>
          <w:p w14:paraId="56F7FA63" w14:textId="77777777" w:rsidR="005E5D65" w:rsidRPr="007D4776" w:rsidRDefault="005E5D65" w:rsidP="005E5D65">
            <w:pPr>
              <w:pStyle w:val="Listenabsatz"/>
              <w:numPr>
                <w:ilvl w:val="0"/>
                <w:numId w:val="16"/>
              </w:numPr>
              <w:spacing w:after="120"/>
              <w:contextualSpacing w:val="0"/>
            </w:pPr>
            <w:r w:rsidRPr="00015BB8">
              <w:t xml:space="preserve">Aus Sicht des Kantons Zürich sind zudem weitere grundsätzliche Punkte sowie Änderungen zu einzelnen Artikeln der Verordnung zu berücksichtigen. Gerne lassen wir Ihnen </w:t>
            </w:r>
            <w:r>
              <w:t xml:space="preserve">diese </w:t>
            </w:r>
            <w:r w:rsidRPr="00015BB8">
              <w:t xml:space="preserve">als </w:t>
            </w:r>
            <w:r w:rsidRPr="00362129">
              <w:rPr>
                <w:u w:val="single"/>
              </w:rPr>
              <w:t>Ergänzung zur Stellungnahme der EnDK</w:t>
            </w:r>
            <w:r w:rsidRPr="00015BB8">
              <w:t xml:space="preserve"> </w:t>
            </w:r>
            <w:r>
              <w:t xml:space="preserve">im vorliegenden </w:t>
            </w:r>
            <w:r w:rsidRPr="00015BB8">
              <w:t>Antwortformular zukommen.</w:t>
            </w:r>
          </w:p>
        </w:tc>
        <w:tc>
          <w:tcPr>
            <w:tcW w:w="532" w:type="dxa"/>
            <w:tcBorders>
              <w:top w:val="nil"/>
              <w:left w:val="single" w:sz="4" w:space="0" w:color="auto"/>
              <w:bottom w:val="nil"/>
              <w:right w:val="nil"/>
            </w:tcBorders>
            <w:shd w:val="clear" w:color="auto" w:fill="auto"/>
          </w:tcPr>
          <w:p w14:paraId="024D8927" w14:textId="77777777" w:rsidR="005E5D65" w:rsidRPr="007D4776" w:rsidRDefault="005E5D65" w:rsidP="00600255">
            <w:pPr>
              <w:pStyle w:val="Betreff"/>
              <w:widowControl/>
              <w:spacing w:before="0" w:after="0" w:line="240" w:lineRule="auto"/>
            </w:pPr>
          </w:p>
        </w:tc>
      </w:tr>
      <w:tr w:rsidR="005E5D65" w:rsidRPr="007D4776" w14:paraId="2E9A146A" w14:textId="77777777" w:rsidTr="00600255">
        <w:trPr>
          <w:cantSplit/>
          <w:trHeight w:val="295"/>
          <w:tblHeader/>
        </w:trPr>
        <w:tc>
          <w:tcPr>
            <w:tcW w:w="14092" w:type="dxa"/>
            <w:tcBorders>
              <w:top w:val="nil"/>
              <w:left w:val="single" w:sz="4" w:space="0" w:color="auto"/>
              <w:bottom w:val="single" w:sz="4" w:space="0" w:color="auto"/>
              <w:right w:val="single" w:sz="4" w:space="0" w:color="auto"/>
            </w:tcBorders>
          </w:tcPr>
          <w:p w14:paraId="732B16E7" w14:textId="77777777" w:rsidR="005E5D65" w:rsidRPr="007D4776" w:rsidRDefault="005E5D65" w:rsidP="00600255">
            <w:pPr>
              <w:tabs>
                <w:tab w:val="left" w:pos="13121"/>
              </w:tabs>
              <w:rPr>
                <w:sz w:val="24"/>
                <w:szCs w:val="24"/>
              </w:rPr>
            </w:pPr>
          </w:p>
        </w:tc>
        <w:tc>
          <w:tcPr>
            <w:tcW w:w="532" w:type="dxa"/>
            <w:tcBorders>
              <w:top w:val="nil"/>
              <w:left w:val="single" w:sz="4" w:space="0" w:color="auto"/>
              <w:bottom w:val="nil"/>
              <w:right w:val="nil"/>
            </w:tcBorders>
            <w:shd w:val="clear" w:color="auto" w:fill="auto"/>
          </w:tcPr>
          <w:p w14:paraId="571A7F7F" w14:textId="77777777" w:rsidR="005E5D65" w:rsidRPr="007D4776" w:rsidRDefault="005E5D65" w:rsidP="00600255">
            <w:pPr>
              <w:rPr>
                <w:b/>
              </w:rPr>
            </w:pPr>
          </w:p>
        </w:tc>
      </w:tr>
    </w:tbl>
    <w:p w14:paraId="680DE1D9" w14:textId="77777777" w:rsidR="005E5D65" w:rsidRPr="007D4776" w:rsidRDefault="005E5D65" w:rsidP="005E5D65"/>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5E5D65" w:rsidRPr="007D4776" w14:paraId="120A1843" w14:textId="77777777" w:rsidTr="00600255">
        <w:trPr>
          <w:tblHeader/>
        </w:trPr>
        <w:tc>
          <w:tcPr>
            <w:tcW w:w="2943" w:type="dxa"/>
          </w:tcPr>
          <w:p w14:paraId="779E3CA3" w14:textId="77777777" w:rsidR="005E5D65" w:rsidRPr="007D4776" w:rsidRDefault="005E5D65" w:rsidP="00600255">
            <w:pPr>
              <w:spacing w:after="0"/>
              <w:rPr>
                <w:b/>
                <w:lang w:val="it-CH"/>
              </w:rPr>
            </w:pPr>
            <w:r w:rsidRPr="007D4776">
              <w:rPr>
                <w:b/>
                <w:lang w:val="it-CH"/>
              </w:rPr>
              <w:t xml:space="preserve">Artikel, Ziffer (Anhang) </w:t>
            </w:r>
            <w:r w:rsidRPr="007D4776">
              <w:rPr>
                <w:b/>
                <w:lang w:val="it-CH"/>
              </w:rPr>
              <w:br/>
              <w:t>Article, chiffre (annexe)</w:t>
            </w:r>
            <w:r w:rsidRPr="007D4776">
              <w:rPr>
                <w:b/>
                <w:lang w:val="it-CH"/>
              </w:rPr>
              <w:br/>
              <w:t>Articolo, numero (allegato)</w:t>
            </w:r>
          </w:p>
        </w:tc>
        <w:tc>
          <w:tcPr>
            <w:tcW w:w="5529" w:type="dxa"/>
          </w:tcPr>
          <w:p w14:paraId="0C892E42" w14:textId="77777777" w:rsidR="005E5D65" w:rsidRPr="007D4776" w:rsidRDefault="005E5D65" w:rsidP="00600255">
            <w:pPr>
              <w:spacing w:after="0"/>
              <w:rPr>
                <w:b/>
              </w:rPr>
            </w:pPr>
            <w:r w:rsidRPr="007D4776">
              <w:rPr>
                <w:b/>
              </w:rPr>
              <w:t>Antrag</w:t>
            </w:r>
            <w:r w:rsidRPr="007D4776">
              <w:rPr>
                <w:b/>
              </w:rPr>
              <w:br/>
              <w:t>Proposition</w:t>
            </w:r>
            <w:r w:rsidRPr="007D4776">
              <w:rPr>
                <w:b/>
              </w:rPr>
              <w:br/>
              <w:t>Richiesta</w:t>
            </w:r>
          </w:p>
        </w:tc>
        <w:tc>
          <w:tcPr>
            <w:tcW w:w="5620" w:type="dxa"/>
          </w:tcPr>
          <w:p w14:paraId="05C042F7" w14:textId="77777777" w:rsidR="005E5D65" w:rsidRPr="007D4776" w:rsidRDefault="005E5D65" w:rsidP="00600255">
            <w:pPr>
              <w:spacing w:after="0"/>
              <w:rPr>
                <w:b/>
              </w:rPr>
            </w:pPr>
            <w:r w:rsidRPr="007D4776">
              <w:rPr>
                <w:b/>
              </w:rPr>
              <w:t>Begründung / Bemerkung</w:t>
            </w:r>
            <w:r w:rsidRPr="007D4776">
              <w:rPr>
                <w:b/>
              </w:rPr>
              <w:br/>
              <w:t>Justification / Remarques</w:t>
            </w:r>
            <w:r w:rsidRPr="007D4776">
              <w:rPr>
                <w:b/>
              </w:rPr>
              <w:br/>
              <w:t>Motivazione / Osservazioni</w:t>
            </w:r>
          </w:p>
        </w:tc>
        <w:tc>
          <w:tcPr>
            <w:tcW w:w="532" w:type="dxa"/>
            <w:tcBorders>
              <w:top w:val="nil"/>
              <w:bottom w:val="nil"/>
              <w:right w:val="nil"/>
            </w:tcBorders>
            <w:shd w:val="clear" w:color="auto" w:fill="auto"/>
          </w:tcPr>
          <w:p w14:paraId="3BD5BEEB" w14:textId="77777777" w:rsidR="005E5D65" w:rsidRPr="007D4776" w:rsidRDefault="005E5D65" w:rsidP="00600255">
            <w:pPr>
              <w:widowControl/>
              <w:spacing w:after="0" w:line="240" w:lineRule="auto"/>
              <w:rPr>
                <w:b/>
              </w:rPr>
            </w:pPr>
          </w:p>
        </w:tc>
      </w:tr>
      <w:tr w:rsidR="005E5D65" w14:paraId="6C0AC2AF" w14:textId="77777777" w:rsidTr="00600255">
        <w:tc>
          <w:tcPr>
            <w:tcW w:w="2943" w:type="dxa"/>
          </w:tcPr>
          <w:p w14:paraId="2851827B" w14:textId="77777777" w:rsidR="005E5D65" w:rsidRPr="007D4776" w:rsidRDefault="005E5D65" w:rsidP="00600255">
            <w:r>
              <w:t>Allgemein</w:t>
            </w:r>
          </w:p>
        </w:tc>
        <w:tc>
          <w:tcPr>
            <w:tcW w:w="5529" w:type="dxa"/>
          </w:tcPr>
          <w:p w14:paraId="5A076EBE" w14:textId="77777777" w:rsidR="005E5D65" w:rsidRPr="007D4776" w:rsidRDefault="005E5D65" w:rsidP="00600255">
            <w:r>
              <w:t xml:space="preserve">Um allfällige Unklarheiten oder Diskrepanzen zu vermeiden, ist für die </w:t>
            </w:r>
            <w:r w:rsidRPr="00A26460">
              <w:t xml:space="preserve">Institutionen des Freiheitsentzugs </w:t>
            </w:r>
            <w:r>
              <w:t>eine einheitliche Begriffsverwendung (z. B. Justizvollzugseinrichtungen) zu verwenden.</w:t>
            </w:r>
          </w:p>
        </w:tc>
        <w:tc>
          <w:tcPr>
            <w:tcW w:w="5620" w:type="dxa"/>
          </w:tcPr>
          <w:p w14:paraId="6A30427E" w14:textId="77777777" w:rsidR="005E5D65" w:rsidRPr="00630F54" w:rsidRDefault="005E5D65" w:rsidP="00600255">
            <w:r>
              <w:t>In den Verordnungsentwürfen zur Gaskontingentierung und zur Stromabschaltung werden hinsichtlich der Institutionen des Freiheitsentzugs unterschiedliche Begrifflichkeiten verwendet (Strafuntersuchungs- und Strafvollzugsanstalten bzw. Justizvollzugsanstalten).</w:t>
            </w:r>
          </w:p>
        </w:tc>
        <w:tc>
          <w:tcPr>
            <w:tcW w:w="532" w:type="dxa"/>
            <w:tcBorders>
              <w:top w:val="nil"/>
              <w:bottom w:val="nil"/>
              <w:right w:val="nil"/>
            </w:tcBorders>
            <w:shd w:val="clear" w:color="auto" w:fill="auto"/>
          </w:tcPr>
          <w:p w14:paraId="5873C2F3" w14:textId="77777777" w:rsidR="005E5D65" w:rsidRPr="00630F54" w:rsidRDefault="005E5D65" w:rsidP="00600255">
            <w:pPr>
              <w:rPr>
                <w:b/>
              </w:rPr>
            </w:pPr>
          </w:p>
        </w:tc>
      </w:tr>
      <w:tr w:rsidR="005E5D65" w14:paraId="4F40AA2A" w14:textId="77777777" w:rsidTr="00600255">
        <w:tc>
          <w:tcPr>
            <w:tcW w:w="2943" w:type="dxa"/>
          </w:tcPr>
          <w:p w14:paraId="73DBAEAE" w14:textId="6227D502" w:rsidR="005E5D65" w:rsidRPr="007D4776" w:rsidRDefault="005E5D65" w:rsidP="00600255">
            <w:r w:rsidRPr="007D4776">
              <w:t xml:space="preserve">NEU </w:t>
            </w:r>
            <w:r w:rsidR="0089323D">
              <w:t>Artikel 2a</w:t>
            </w:r>
            <w:r w:rsidRPr="007D4776">
              <w:t xml:space="preserve"> Ausnahmen</w:t>
            </w:r>
          </w:p>
        </w:tc>
        <w:tc>
          <w:tcPr>
            <w:tcW w:w="5529" w:type="dxa"/>
          </w:tcPr>
          <w:p w14:paraId="4DC933D5" w14:textId="77777777" w:rsidR="005E5D65" w:rsidRDefault="005E5D65" w:rsidP="00600255">
            <w:r>
              <w:t>Im Sinne einer Präzisierung und Erweiterung der bereits in der Stellungnahme der EnDK aufgeführten Ausnahmen:</w:t>
            </w:r>
            <w:r w:rsidRPr="00320485">
              <w:t xml:space="preserve"> Schulen sind von Sofortkontingentierungs- und </w:t>
            </w:r>
            <w:r w:rsidRPr="00320485">
              <w:lastRenderedPageBreak/>
              <w:t>Kontingentierungsmassnahmen grösser als 20% auszunehmen.</w:t>
            </w:r>
          </w:p>
        </w:tc>
        <w:tc>
          <w:tcPr>
            <w:tcW w:w="5620" w:type="dxa"/>
          </w:tcPr>
          <w:p w14:paraId="3AD65E80" w14:textId="23C6EF45" w:rsidR="005E5D65" w:rsidRDefault="005E5D65" w:rsidP="00600255">
            <w:r>
              <w:lastRenderedPageBreak/>
              <w:t>Bei den Schulen kann bei</w:t>
            </w:r>
            <w:r w:rsidRPr="00D75354">
              <w:t xml:space="preserve"> </w:t>
            </w:r>
            <w:r>
              <w:t xml:space="preserve">verlangten </w:t>
            </w:r>
            <w:r w:rsidRPr="00D75354">
              <w:t xml:space="preserve">Energieeinsparungen </w:t>
            </w:r>
            <w:r>
              <w:t>grösser als</w:t>
            </w:r>
            <w:r w:rsidRPr="00D75354">
              <w:t xml:space="preserve"> 20% gegenüber den Vorjahresmonaten ein regulärer Schulbetrieb nicht me</w:t>
            </w:r>
            <w:r>
              <w:t>hr aufrechterhalten werden</w:t>
            </w:r>
            <w:r w:rsidRPr="00D75354">
              <w:t xml:space="preserve">. </w:t>
            </w:r>
            <w:r w:rsidRPr="00D75354">
              <w:lastRenderedPageBreak/>
              <w:t>Mindestens grössere Anpassungen am Angebot wären die Folgen bis hin zur Schliessung von ganzen Schulanlagen. Die</w:t>
            </w:r>
            <w:r w:rsidR="0089323D">
              <w:t xml:space="preserve"> </w:t>
            </w:r>
            <w:r w:rsidR="0089323D">
              <w:t xml:space="preserve">während der </w:t>
            </w:r>
            <w:r w:rsidR="0089323D" w:rsidRPr="00D75354">
              <w:t>Corona</w:t>
            </w:r>
            <w:r w:rsidR="0089323D">
              <w:t>pandemie</w:t>
            </w:r>
            <w:r w:rsidRPr="00D75354">
              <w:t xml:space="preserve"> in den </w:t>
            </w:r>
            <w:r w:rsidR="00523749">
              <w:t xml:space="preserve">Jahren 2020 und 2021 </w:t>
            </w:r>
            <w:r w:rsidRPr="00D75354">
              <w:t>gesammelten Erfahrungen, mit zum Teil weitreichenden psychischen Folgeerscheinungen, haben gezeigt, dass der Schulbetrieb sichergestellt werden muss.</w:t>
            </w:r>
          </w:p>
        </w:tc>
        <w:tc>
          <w:tcPr>
            <w:tcW w:w="532" w:type="dxa"/>
            <w:tcBorders>
              <w:top w:val="nil"/>
              <w:bottom w:val="nil"/>
              <w:right w:val="nil"/>
            </w:tcBorders>
            <w:shd w:val="clear" w:color="auto" w:fill="auto"/>
          </w:tcPr>
          <w:p w14:paraId="4CF43276" w14:textId="77777777" w:rsidR="005E5D65" w:rsidRPr="00630F54" w:rsidRDefault="005E5D65" w:rsidP="00600255">
            <w:pPr>
              <w:rPr>
                <w:b/>
              </w:rPr>
            </w:pPr>
          </w:p>
        </w:tc>
      </w:tr>
      <w:tr w:rsidR="005E5D65" w14:paraId="5C40F120" w14:textId="77777777" w:rsidTr="00600255">
        <w:tc>
          <w:tcPr>
            <w:tcW w:w="2943" w:type="dxa"/>
          </w:tcPr>
          <w:p w14:paraId="7ECCEA2A" w14:textId="5A77F649" w:rsidR="005E5D65" w:rsidRPr="007D4776" w:rsidRDefault="005E5D65" w:rsidP="00600255">
            <w:r w:rsidRPr="007D4776">
              <w:t xml:space="preserve">NEU </w:t>
            </w:r>
            <w:r w:rsidR="0089323D">
              <w:t>Artikel 2a</w:t>
            </w:r>
            <w:r w:rsidRPr="007D4776">
              <w:t xml:space="preserve"> Ausnahmen</w:t>
            </w:r>
          </w:p>
        </w:tc>
        <w:tc>
          <w:tcPr>
            <w:tcW w:w="5529" w:type="dxa"/>
          </w:tcPr>
          <w:p w14:paraId="16405674" w14:textId="77777777" w:rsidR="005E5D65" w:rsidRDefault="005E5D65" w:rsidP="00600255">
            <w:r>
              <w:t>Im Sinne einer Präzisierung und Erweiterung der bereits in der Stellungnahme der EnDK aufgeführten Ausnahmen:</w:t>
            </w:r>
            <w:r w:rsidRPr="00320485">
              <w:t xml:space="preserve"> </w:t>
            </w:r>
            <w:r w:rsidRPr="0063452C">
              <w:t xml:space="preserve">Strafvollzugsanstalten </w:t>
            </w:r>
            <w:r w:rsidRPr="00AC6E48">
              <w:t>sind von Kontingentierungsmassnahmen auszunehmen</w:t>
            </w:r>
            <w:r>
              <w:t xml:space="preserve"> oder zumindest </w:t>
            </w:r>
            <w:r w:rsidRPr="0063452C">
              <w:t xml:space="preserve">mit einem verminderten Prozentsatz </w:t>
            </w:r>
            <w:r>
              <w:t xml:space="preserve">zu </w:t>
            </w:r>
            <w:r w:rsidRPr="0063452C">
              <w:t>kontingentier</w:t>
            </w:r>
            <w:r>
              <w:t>en</w:t>
            </w:r>
            <w:r w:rsidRPr="00AC6E48">
              <w:t>.</w:t>
            </w:r>
          </w:p>
        </w:tc>
        <w:tc>
          <w:tcPr>
            <w:tcW w:w="5620" w:type="dxa"/>
          </w:tcPr>
          <w:p w14:paraId="3D416A18" w14:textId="748239C5" w:rsidR="005E5D65" w:rsidRDefault="005E5D65" w:rsidP="00600255">
            <w:r w:rsidRPr="0063452C">
              <w:t>In den Strafvollzugsanstalten sind fast keine freiwilligen Energiesparmassnahmen möglich. Insbesondere benötigen die Systeme zur Sicherheit nach innen wie nach aussen Strom und können nicht eingeschränkt werden. Lediglich bei den Betriebs- und Werkstätten besteht ein (teilweise sogar grosses) Sparpoten</w:t>
            </w:r>
            <w:r>
              <w:t>z</w:t>
            </w:r>
            <w:r w:rsidRPr="0063452C">
              <w:t xml:space="preserve">ial. Eine längerfristige Einstellung der Betriebe wegen Kontingentierungen hätte jedoch </w:t>
            </w:r>
            <w:r w:rsidR="0089323D">
              <w:t>starke</w:t>
            </w:r>
            <w:r w:rsidRPr="0063452C">
              <w:t xml:space="preserve"> Auswirkungen auf die Tagesstruktur der inhaftierten Personen. Anders als eine längerfristige Kontingentierung ist eine Sofortkontingentierung auch in den Strafvollzugsanstalten möglich</w:t>
            </w:r>
            <w:r>
              <w:t>.</w:t>
            </w:r>
          </w:p>
        </w:tc>
        <w:tc>
          <w:tcPr>
            <w:tcW w:w="532" w:type="dxa"/>
            <w:tcBorders>
              <w:top w:val="nil"/>
              <w:bottom w:val="nil"/>
              <w:right w:val="nil"/>
            </w:tcBorders>
            <w:shd w:val="clear" w:color="auto" w:fill="auto"/>
          </w:tcPr>
          <w:p w14:paraId="118FFF47" w14:textId="77777777" w:rsidR="005E5D65" w:rsidRPr="00630F54" w:rsidRDefault="005E5D65" w:rsidP="00600255">
            <w:pPr>
              <w:rPr>
                <w:b/>
              </w:rPr>
            </w:pPr>
          </w:p>
        </w:tc>
      </w:tr>
      <w:tr w:rsidR="005E5D65" w14:paraId="1C78704D" w14:textId="77777777" w:rsidTr="00600255">
        <w:tc>
          <w:tcPr>
            <w:tcW w:w="2943" w:type="dxa"/>
          </w:tcPr>
          <w:p w14:paraId="426F4A84" w14:textId="1DCE1FFE" w:rsidR="005E5D65" w:rsidRPr="007D4776" w:rsidRDefault="005E5D65" w:rsidP="00600255">
            <w:r w:rsidRPr="007D4776">
              <w:t xml:space="preserve">NEU </w:t>
            </w:r>
            <w:r w:rsidR="0089323D">
              <w:t>Artikel 2a</w:t>
            </w:r>
            <w:r w:rsidRPr="007D4776">
              <w:t xml:space="preserve"> Ausnahmen</w:t>
            </w:r>
          </w:p>
        </w:tc>
        <w:tc>
          <w:tcPr>
            <w:tcW w:w="5529" w:type="dxa"/>
          </w:tcPr>
          <w:p w14:paraId="428A8764" w14:textId="77777777" w:rsidR="005E5D65" w:rsidRDefault="005E5D65" w:rsidP="00600255">
            <w:r>
              <w:t>Im Sinne einer Präzisierung und Erweiterung der bereits in der Stellungnahme der EnDK aufgeführten Ausnahmen:</w:t>
            </w:r>
            <w:r w:rsidRPr="00320485">
              <w:t xml:space="preserve"> </w:t>
            </w:r>
            <w:r>
              <w:t>Anlagen</w:t>
            </w:r>
            <w:r w:rsidRPr="005922CE">
              <w:t xml:space="preserve"> mit Untersuchungsgefängnissen sind von einer Kontingentierung auszunehmen.</w:t>
            </w:r>
          </w:p>
        </w:tc>
        <w:tc>
          <w:tcPr>
            <w:tcW w:w="5620" w:type="dxa"/>
          </w:tcPr>
          <w:p w14:paraId="5778CE36" w14:textId="09FBF001" w:rsidR="005E5D65" w:rsidRDefault="005E5D65" w:rsidP="00600255">
            <w:r w:rsidRPr="005922CE">
              <w:t>Untersuchungsgefängnisse befi</w:t>
            </w:r>
            <w:r>
              <w:t xml:space="preserve">nden sich in </w:t>
            </w:r>
            <w:r w:rsidR="0089323D">
              <w:t>der</w:t>
            </w:r>
            <w:r>
              <w:t xml:space="preserve"> Regel in A</w:t>
            </w:r>
            <w:r w:rsidRPr="005922CE">
              <w:t xml:space="preserve">nlagen, </w:t>
            </w:r>
            <w:r>
              <w:t>in denen</w:t>
            </w:r>
            <w:r w:rsidRPr="005922CE">
              <w:t xml:space="preserve"> neben dem Gefängnis das entsprechende </w:t>
            </w:r>
            <w:r>
              <w:t>G</w:t>
            </w:r>
            <w:r w:rsidRPr="005922CE">
              <w:t xml:space="preserve">ericht wie auch mehrheitlich ein Polizeiposten untergebracht </w:t>
            </w:r>
            <w:r w:rsidR="0089323D">
              <w:t>sind</w:t>
            </w:r>
            <w:r w:rsidRPr="005922CE">
              <w:t xml:space="preserve">. </w:t>
            </w:r>
            <w:r>
              <w:t>Dabei</w:t>
            </w:r>
            <w:r w:rsidRPr="005922CE">
              <w:t xml:space="preserve"> erweisen sich sowohl der Gefängnisbetrieb als auch die Rechtspflege und die Polizei als systemrelevante Institutionen</w:t>
            </w:r>
            <w:r>
              <w:t>, deren Betrieb im Rahmen einer</w:t>
            </w:r>
            <w:r w:rsidRPr="005922CE">
              <w:t xml:space="preserve"> Kontingentierungsperiode nicht eingestellt werden kann.</w:t>
            </w:r>
          </w:p>
        </w:tc>
        <w:tc>
          <w:tcPr>
            <w:tcW w:w="532" w:type="dxa"/>
            <w:tcBorders>
              <w:top w:val="nil"/>
              <w:bottom w:val="nil"/>
              <w:right w:val="nil"/>
            </w:tcBorders>
            <w:shd w:val="clear" w:color="auto" w:fill="auto"/>
          </w:tcPr>
          <w:p w14:paraId="508BC103" w14:textId="77777777" w:rsidR="005E5D65" w:rsidRPr="00630F54" w:rsidRDefault="005E5D65" w:rsidP="00600255">
            <w:pPr>
              <w:rPr>
                <w:b/>
              </w:rPr>
            </w:pPr>
          </w:p>
        </w:tc>
      </w:tr>
    </w:tbl>
    <w:p w14:paraId="5378F624" w14:textId="77777777" w:rsidR="005E5D65" w:rsidRPr="00630F54" w:rsidRDefault="005E5D65" w:rsidP="005E5D65"/>
    <w:p w14:paraId="62879772" w14:textId="77777777" w:rsidR="005E5D65" w:rsidRPr="00630F54" w:rsidRDefault="005E5D65" w:rsidP="005E5D65">
      <w:pPr>
        <w:pStyle w:val="berschrift1"/>
      </w:pPr>
      <w:bookmarkStart w:id="5" w:name="_Toc120091575"/>
      <w:r w:rsidRPr="00630F54">
        <w:lastRenderedPageBreak/>
        <w:t xml:space="preserve">Verordnung über die Kontingentierung elektrischer Energie inkl. Kommentar / Ordonnance sur le contingentement de l’énergie électrique et commentaire y relatif / </w:t>
      </w:r>
      <w:bookmarkStart w:id="6" w:name="_Hlk120016880"/>
      <w:r w:rsidRPr="00630F54">
        <w:t>Ordinanza sul contingentamento dell’energia elettrica</w:t>
      </w:r>
      <w:bookmarkEnd w:id="5"/>
      <w:bookmarkEnd w:id="6"/>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5E5D65" w14:paraId="1E590564" w14:textId="77777777" w:rsidTr="00600255">
        <w:trPr>
          <w:tblHeader/>
        </w:trPr>
        <w:tc>
          <w:tcPr>
            <w:tcW w:w="14092" w:type="dxa"/>
            <w:tcBorders>
              <w:top w:val="single" w:sz="4" w:space="0" w:color="auto"/>
              <w:left w:val="single" w:sz="4" w:space="0" w:color="auto"/>
              <w:bottom w:val="nil"/>
              <w:right w:val="single" w:sz="4" w:space="0" w:color="auto"/>
            </w:tcBorders>
          </w:tcPr>
          <w:p w14:paraId="06C9DE7D" w14:textId="77777777" w:rsidR="005E5D65" w:rsidRDefault="005E5D65" w:rsidP="00600255">
            <w:pPr>
              <w:pStyle w:val="Betreff"/>
              <w:spacing w:before="0" w:after="0" w:line="240" w:lineRule="auto"/>
            </w:pPr>
            <w:r>
              <w:t>Allgemeine Bemerkungen / Remarques générales / Osservazioni generali:</w:t>
            </w:r>
          </w:p>
        </w:tc>
        <w:tc>
          <w:tcPr>
            <w:tcW w:w="532" w:type="dxa"/>
            <w:tcBorders>
              <w:top w:val="nil"/>
              <w:left w:val="single" w:sz="4" w:space="0" w:color="auto"/>
              <w:bottom w:val="nil"/>
              <w:right w:val="nil"/>
            </w:tcBorders>
            <w:shd w:val="clear" w:color="auto" w:fill="auto"/>
          </w:tcPr>
          <w:p w14:paraId="09690E5F" w14:textId="77777777" w:rsidR="005E5D65" w:rsidRDefault="005E5D65" w:rsidP="00600255">
            <w:pPr>
              <w:pStyle w:val="Betreff"/>
              <w:widowControl/>
              <w:spacing w:before="0" w:after="0" w:line="240" w:lineRule="auto"/>
            </w:pPr>
          </w:p>
        </w:tc>
      </w:tr>
      <w:tr w:rsidR="005E5D65" w:rsidRPr="007D4776" w14:paraId="61F034F9" w14:textId="77777777" w:rsidTr="00600255">
        <w:trPr>
          <w:cantSplit/>
          <w:trHeight w:val="1134"/>
          <w:tblHeader/>
        </w:trPr>
        <w:tc>
          <w:tcPr>
            <w:tcW w:w="14092" w:type="dxa"/>
            <w:tcBorders>
              <w:top w:val="nil"/>
              <w:left w:val="single" w:sz="4" w:space="0" w:color="auto"/>
              <w:bottom w:val="single" w:sz="4" w:space="0" w:color="auto"/>
              <w:right w:val="single" w:sz="4" w:space="0" w:color="auto"/>
            </w:tcBorders>
          </w:tcPr>
          <w:p w14:paraId="428AB979" w14:textId="77777777" w:rsidR="0089323D" w:rsidRDefault="0089323D" w:rsidP="0089323D">
            <w:pPr>
              <w:pStyle w:val="Listenabsatz"/>
              <w:numPr>
                <w:ilvl w:val="0"/>
                <w:numId w:val="16"/>
              </w:numPr>
              <w:spacing w:after="120"/>
              <w:contextualSpacing w:val="0"/>
            </w:pPr>
            <w:r w:rsidRPr="00015BB8">
              <w:rPr>
                <w:u w:val="single"/>
              </w:rPr>
              <w:t xml:space="preserve">Wir unterstützen die Stellungnahme der </w:t>
            </w:r>
            <w:r>
              <w:rPr>
                <w:u w:val="single"/>
              </w:rPr>
              <w:t xml:space="preserve">Konferenz Kantonaler </w:t>
            </w:r>
            <w:r w:rsidRPr="00015BB8">
              <w:rPr>
                <w:u w:val="single"/>
              </w:rPr>
              <w:t xml:space="preserve">Energiedirektoren </w:t>
            </w:r>
            <w:r>
              <w:rPr>
                <w:u w:val="single"/>
              </w:rPr>
              <w:t xml:space="preserve">(EnDK) </w:t>
            </w:r>
            <w:r w:rsidRPr="00015BB8">
              <w:rPr>
                <w:u w:val="single"/>
              </w:rPr>
              <w:t>vom 2. Dezember 2022</w:t>
            </w:r>
            <w:r w:rsidRPr="00015BB8">
              <w:t xml:space="preserve">, die unter Einbezug der Konferenz </w:t>
            </w:r>
            <w:r>
              <w:t>K</w:t>
            </w:r>
            <w:r w:rsidRPr="00015BB8">
              <w:t>antonaler Volkswirtschaftsdirektor</w:t>
            </w:r>
            <w:r>
              <w:t>inn</w:t>
            </w:r>
            <w:r w:rsidRPr="00015BB8">
              <w:t xml:space="preserve">en </w:t>
            </w:r>
            <w:r>
              <w:t xml:space="preserve">und </w:t>
            </w:r>
            <w:r w:rsidRPr="00015BB8">
              <w:t>Volkswirtschaftsdirektoren, der Bau-, Planungs- und Umweltdirektoren</w:t>
            </w:r>
            <w:r>
              <w:t>-K</w:t>
            </w:r>
            <w:r w:rsidRPr="00015BB8">
              <w:t xml:space="preserve">onferenz, </w:t>
            </w:r>
            <w:r w:rsidRPr="002F357F">
              <w:t>der</w:t>
            </w:r>
            <w:r>
              <w:t> </w:t>
            </w:r>
            <w:r w:rsidRPr="002F357F">
              <w:t>Konferenz der kantonalen Gesundheitsdirektorinnen und -direktoren, der Konferenz der Kantonalen</w:t>
            </w:r>
            <w:r w:rsidRPr="00015BB8">
              <w:t xml:space="preserve"> Justiz- und Polizeidirektorinnen und -direktoren, der Regierungskonferenz Militär, Zivilschutz und Feuerwehr, der</w:t>
            </w:r>
            <w:r>
              <w:t xml:space="preserve"> </w:t>
            </w:r>
            <w:r w:rsidRPr="00015BB8">
              <w:t xml:space="preserve">Konferenz der </w:t>
            </w:r>
            <w:r>
              <w:t>k</w:t>
            </w:r>
            <w:r w:rsidRPr="00015BB8">
              <w:t>antonalen Sozialdirektorinnen und Sozialdi</w:t>
            </w:r>
            <w:r>
              <w:t>rektoren sowie der Konferenz der k</w:t>
            </w:r>
            <w:r w:rsidRPr="00015BB8">
              <w:t>antonalen Landwirtschaftsdirektoren erarbeitet wurde.</w:t>
            </w:r>
          </w:p>
          <w:p w14:paraId="59B5BA64" w14:textId="5A2957DC" w:rsidR="005E5D65" w:rsidRDefault="005E5D65" w:rsidP="005E5D65">
            <w:pPr>
              <w:pStyle w:val="Listenabsatz"/>
              <w:numPr>
                <w:ilvl w:val="0"/>
                <w:numId w:val="16"/>
              </w:numPr>
              <w:spacing w:after="120"/>
              <w:contextualSpacing w:val="0"/>
            </w:pPr>
            <w:r>
              <w:t xml:space="preserve">Insbesondere unterstützen wir die </w:t>
            </w:r>
            <w:r w:rsidRPr="004B1EE3">
              <w:rPr>
                <w:u w:val="single"/>
              </w:rPr>
              <w:t xml:space="preserve">Schaffung eines neuen </w:t>
            </w:r>
            <w:r w:rsidR="0089323D">
              <w:rPr>
                <w:u w:val="single"/>
              </w:rPr>
              <w:t>Art. </w:t>
            </w:r>
            <w:r w:rsidRPr="004B1EE3">
              <w:rPr>
                <w:u w:val="single"/>
              </w:rPr>
              <w:t>2a «Ausnahmen»</w:t>
            </w:r>
            <w:r w:rsidRPr="004B1EE3">
              <w:t>, in dem Entsorgungs- sowie Wasserversorgungsanlagen, stationäre Gesundheitseinrichtungen, Tie</w:t>
            </w:r>
            <w:r>
              <w:t>rhaltung in Ställen sowie kriti</w:t>
            </w:r>
            <w:r w:rsidRPr="004B1EE3">
              <w:t xml:space="preserve">sche Einrichtungen von Telekommunikationsbetreibern von der </w:t>
            </w:r>
            <w:r>
              <w:t>(Sofort-)</w:t>
            </w:r>
            <w:r w:rsidRPr="004B1EE3">
              <w:t xml:space="preserve">Kontingentierung ausgenommen oder mit einem </w:t>
            </w:r>
            <w:r>
              <w:t>verminderten</w:t>
            </w:r>
            <w:r w:rsidRPr="004B1EE3">
              <w:t xml:space="preserve"> Prozentsatz kontingentiert werden.</w:t>
            </w:r>
          </w:p>
          <w:p w14:paraId="2BBC7FEC" w14:textId="77777777" w:rsidR="005E5D65" w:rsidRPr="007D4776" w:rsidRDefault="005E5D65" w:rsidP="005E5D65">
            <w:pPr>
              <w:pStyle w:val="Listenabsatz"/>
              <w:numPr>
                <w:ilvl w:val="0"/>
                <w:numId w:val="16"/>
              </w:numPr>
              <w:spacing w:after="120"/>
              <w:contextualSpacing w:val="0"/>
            </w:pPr>
            <w:r w:rsidRPr="00015BB8">
              <w:t xml:space="preserve">Aus Sicht des Kantons Zürich sind zudem weitere grundsätzliche Punkte sowie Änderungen zu einzelnen Artikeln der Verordnung zu berücksichtigen. Gerne lassen wir Ihnen </w:t>
            </w:r>
            <w:r>
              <w:t xml:space="preserve">diese </w:t>
            </w:r>
            <w:r w:rsidRPr="00015BB8">
              <w:t xml:space="preserve">als </w:t>
            </w:r>
            <w:r w:rsidRPr="00362129">
              <w:rPr>
                <w:u w:val="single"/>
              </w:rPr>
              <w:t>Ergänzung zur Stellungnahme der EnDK</w:t>
            </w:r>
            <w:r w:rsidRPr="00015BB8">
              <w:t xml:space="preserve"> </w:t>
            </w:r>
            <w:r>
              <w:t xml:space="preserve">im vorliegenden </w:t>
            </w:r>
            <w:r w:rsidRPr="00015BB8">
              <w:t>Antwortformular zukommen.</w:t>
            </w:r>
          </w:p>
        </w:tc>
        <w:tc>
          <w:tcPr>
            <w:tcW w:w="532" w:type="dxa"/>
            <w:tcBorders>
              <w:top w:val="nil"/>
              <w:left w:val="single" w:sz="4" w:space="0" w:color="auto"/>
              <w:bottom w:val="nil"/>
              <w:right w:val="nil"/>
            </w:tcBorders>
            <w:shd w:val="clear" w:color="auto" w:fill="auto"/>
          </w:tcPr>
          <w:p w14:paraId="7984424B" w14:textId="77777777" w:rsidR="005E5D65" w:rsidRPr="007D4776" w:rsidRDefault="005E5D65" w:rsidP="005E5D65">
            <w:pPr>
              <w:pStyle w:val="Listenabsatz"/>
              <w:numPr>
                <w:ilvl w:val="0"/>
                <w:numId w:val="17"/>
              </w:numPr>
              <w:rPr>
                <w:b/>
              </w:rPr>
            </w:pPr>
          </w:p>
        </w:tc>
      </w:tr>
    </w:tbl>
    <w:p w14:paraId="572D2CDE" w14:textId="77777777" w:rsidR="005E5D65" w:rsidRPr="007D4776" w:rsidRDefault="005E5D65" w:rsidP="005E5D65"/>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5E5D65" w:rsidRPr="007D4776" w14:paraId="7D7DECF3" w14:textId="77777777" w:rsidTr="00600255">
        <w:trPr>
          <w:tblHeader/>
        </w:trPr>
        <w:tc>
          <w:tcPr>
            <w:tcW w:w="2943" w:type="dxa"/>
          </w:tcPr>
          <w:p w14:paraId="7B1F1683" w14:textId="77777777" w:rsidR="005E5D65" w:rsidRPr="007D4776" w:rsidRDefault="005E5D65" w:rsidP="00600255">
            <w:pPr>
              <w:spacing w:after="0"/>
              <w:rPr>
                <w:b/>
                <w:lang w:val="it-CH"/>
              </w:rPr>
            </w:pPr>
            <w:r w:rsidRPr="007D4776">
              <w:rPr>
                <w:b/>
                <w:lang w:val="it-CH"/>
              </w:rPr>
              <w:t xml:space="preserve">Artikel, Ziffer (Anhang) </w:t>
            </w:r>
            <w:r w:rsidRPr="007D4776">
              <w:rPr>
                <w:b/>
                <w:lang w:val="it-CH"/>
              </w:rPr>
              <w:br/>
              <w:t>Article, chiffre (annexe)</w:t>
            </w:r>
            <w:r w:rsidRPr="007D4776">
              <w:rPr>
                <w:b/>
                <w:lang w:val="it-CH"/>
              </w:rPr>
              <w:br/>
              <w:t>Articolo, numero (allegato)</w:t>
            </w:r>
          </w:p>
        </w:tc>
        <w:tc>
          <w:tcPr>
            <w:tcW w:w="5529" w:type="dxa"/>
          </w:tcPr>
          <w:p w14:paraId="72AFA5EF" w14:textId="77777777" w:rsidR="005E5D65" w:rsidRPr="007D4776" w:rsidRDefault="005E5D65" w:rsidP="00600255">
            <w:pPr>
              <w:spacing w:after="0"/>
              <w:rPr>
                <w:b/>
              </w:rPr>
            </w:pPr>
            <w:r w:rsidRPr="007D4776">
              <w:rPr>
                <w:b/>
              </w:rPr>
              <w:t>Antrag</w:t>
            </w:r>
            <w:r w:rsidRPr="007D4776">
              <w:rPr>
                <w:b/>
              </w:rPr>
              <w:br/>
              <w:t>Proposition</w:t>
            </w:r>
            <w:r w:rsidRPr="007D4776">
              <w:rPr>
                <w:b/>
              </w:rPr>
              <w:br/>
              <w:t>Richiesta</w:t>
            </w:r>
          </w:p>
        </w:tc>
        <w:tc>
          <w:tcPr>
            <w:tcW w:w="5620" w:type="dxa"/>
          </w:tcPr>
          <w:p w14:paraId="577DB5E3" w14:textId="77777777" w:rsidR="005E5D65" w:rsidRPr="007D4776" w:rsidRDefault="005E5D65" w:rsidP="00600255">
            <w:pPr>
              <w:spacing w:after="0"/>
              <w:rPr>
                <w:b/>
              </w:rPr>
            </w:pPr>
            <w:r w:rsidRPr="007D4776">
              <w:rPr>
                <w:b/>
              </w:rPr>
              <w:t>Begründung / Bemerkung</w:t>
            </w:r>
            <w:r w:rsidRPr="007D4776">
              <w:rPr>
                <w:b/>
              </w:rPr>
              <w:br/>
              <w:t>Justification / Remarques</w:t>
            </w:r>
            <w:r w:rsidRPr="007D4776">
              <w:rPr>
                <w:b/>
              </w:rPr>
              <w:br/>
              <w:t>Motivazione / Osservazioni</w:t>
            </w:r>
          </w:p>
        </w:tc>
        <w:tc>
          <w:tcPr>
            <w:tcW w:w="532" w:type="dxa"/>
            <w:tcBorders>
              <w:top w:val="nil"/>
              <w:bottom w:val="nil"/>
              <w:right w:val="nil"/>
            </w:tcBorders>
            <w:shd w:val="clear" w:color="auto" w:fill="auto"/>
          </w:tcPr>
          <w:p w14:paraId="0CB7AD3E" w14:textId="77777777" w:rsidR="005E5D65" w:rsidRPr="007D4776" w:rsidRDefault="005E5D65" w:rsidP="00600255">
            <w:pPr>
              <w:widowControl/>
              <w:spacing w:after="0" w:line="240" w:lineRule="auto"/>
              <w:rPr>
                <w:b/>
              </w:rPr>
            </w:pPr>
          </w:p>
        </w:tc>
      </w:tr>
      <w:tr w:rsidR="005E5D65" w14:paraId="7716E3CB" w14:textId="77777777" w:rsidTr="00600255">
        <w:tc>
          <w:tcPr>
            <w:tcW w:w="2943" w:type="dxa"/>
          </w:tcPr>
          <w:p w14:paraId="62F826C7" w14:textId="77777777" w:rsidR="005E5D65" w:rsidRPr="007D4776" w:rsidRDefault="005E5D65" w:rsidP="00600255">
            <w:r>
              <w:t>Allgemein</w:t>
            </w:r>
          </w:p>
        </w:tc>
        <w:tc>
          <w:tcPr>
            <w:tcW w:w="5529" w:type="dxa"/>
          </w:tcPr>
          <w:p w14:paraId="64F48DE9" w14:textId="5D6A5617" w:rsidR="005E5D65" w:rsidRPr="007D4776" w:rsidRDefault="005E5D65" w:rsidP="00600255">
            <w:r>
              <w:t xml:space="preserve">Um allfällige Unklarheiten oder Diskrepanzen zu vermeiden, ist für die </w:t>
            </w:r>
            <w:r w:rsidRPr="00A26460">
              <w:t xml:space="preserve">Institutionen des Freiheitsentzugs </w:t>
            </w:r>
            <w:r>
              <w:t>eine einheitliche Begriffsverwendung (z.</w:t>
            </w:r>
            <w:r w:rsidR="0089323D">
              <w:t> </w:t>
            </w:r>
            <w:r>
              <w:t>B. Justizvollzugseinrichtungen) zu verwenden.</w:t>
            </w:r>
          </w:p>
        </w:tc>
        <w:tc>
          <w:tcPr>
            <w:tcW w:w="5620" w:type="dxa"/>
          </w:tcPr>
          <w:p w14:paraId="14F519E2" w14:textId="77777777" w:rsidR="005E5D65" w:rsidRPr="00630F54" w:rsidRDefault="005E5D65" w:rsidP="00600255">
            <w:r>
              <w:t>In den Verordnungsentwürfen zur Gaskontingentierung und zur Stromabschaltung werden hinsichtlich der Institutionen des Freiheitsentzugs unterschiedliche Begrifflichkeiten verwendet (Strafuntersuchungs- und Strafvollzugsanstalten bzw. Justizvollzugsanstalten).</w:t>
            </w:r>
          </w:p>
        </w:tc>
        <w:tc>
          <w:tcPr>
            <w:tcW w:w="532" w:type="dxa"/>
            <w:tcBorders>
              <w:top w:val="nil"/>
              <w:bottom w:val="nil"/>
              <w:right w:val="nil"/>
            </w:tcBorders>
            <w:shd w:val="clear" w:color="auto" w:fill="auto"/>
          </w:tcPr>
          <w:p w14:paraId="19EEBEB5" w14:textId="77777777" w:rsidR="005E5D65" w:rsidRPr="00630F54" w:rsidRDefault="005E5D65" w:rsidP="00600255">
            <w:pPr>
              <w:rPr>
                <w:b/>
              </w:rPr>
            </w:pPr>
          </w:p>
        </w:tc>
      </w:tr>
      <w:tr w:rsidR="005E5D65" w14:paraId="69C38EA2" w14:textId="77777777" w:rsidTr="00600255">
        <w:tc>
          <w:tcPr>
            <w:tcW w:w="2943" w:type="dxa"/>
          </w:tcPr>
          <w:p w14:paraId="442DCBDF" w14:textId="3CA16A44" w:rsidR="005E5D65" w:rsidRPr="0005120F" w:rsidRDefault="005E5D65" w:rsidP="00600255">
            <w:r w:rsidRPr="007D4776">
              <w:t xml:space="preserve">NEU </w:t>
            </w:r>
            <w:r w:rsidR="0089323D">
              <w:t>Artikel 2a</w:t>
            </w:r>
            <w:r w:rsidRPr="007D4776">
              <w:t xml:space="preserve"> Ausnahmen</w:t>
            </w:r>
          </w:p>
        </w:tc>
        <w:tc>
          <w:tcPr>
            <w:tcW w:w="5529" w:type="dxa"/>
          </w:tcPr>
          <w:p w14:paraId="2BF2FDDC" w14:textId="77777777" w:rsidR="005E5D65" w:rsidRPr="00630F54" w:rsidRDefault="005E5D65" w:rsidP="00600255">
            <w:r>
              <w:t>Im Sinne einer Präzisierung und Erweiterung der bereits in der Stellungnahme der EnDK aufgeführten Ausnahmen:</w:t>
            </w:r>
            <w:r w:rsidRPr="00320485">
              <w:t xml:space="preserve"> Schulen sind von Sofortkontingentierungs- und Kontingentierungsmassnahmen grösser als 20% </w:t>
            </w:r>
            <w:r w:rsidRPr="00320485">
              <w:lastRenderedPageBreak/>
              <w:t>auszunehmen.</w:t>
            </w:r>
          </w:p>
        </w:tc>
        <w:tc>
          <w:tcPr>
            <w:tcW w:w="5620" w:type="dxa"/>
          </w:tcPr>
          <w:p w14:paraId="24019E37" w14:textId="77511C9A" w:rsidR="005E5D65" w:rsidRPr="00630F54" w:rsidRDefault="005E5D65" w:rsidP="00600255">
            <w:r>
              <w:lastRenderedPageBreak/>
              <w:t>Bei den Schulen kann bei</w:t>
            </w:r>
            <w:r w:rsidRPr="00D75354">
              <w:t xml:space="preserve"> </w:t>
            </w:r>
            <w:r>
              <w:t xml:space="preserve">verlangten </w:t>
            </w:r>
            <w:r w:rsidRPr="00D75354">
              <w:t xml:space="preserve">Energieeinsparungen </w:t>
            </w:r>
            <w:r>
              <w:t>grösser als</w:t>
            </w:r>
            <w:r w:rsidRPr="00D75354">
              <w:t xml:space="preserve"> 20% gegenüber den Vorjahresmonaten ein regulärer Schulbetrieb nicht me</w:t>
            </w:r>
            <w:r>
              <w:t>hr aufrechterhalten werden</w:t>
            </w:r>
            <w:r w:rsidRPr="00D75354">
              <w:t xml:space="preserve">. Mindestens grössere Anpassungen am Angebot wären die Folgen bis hin zur Schliessung von ganzen Schulanlagen. </w:t>
            </w:r>
            <w:r w:rsidR="0089323D" w:rsidRPr="00D75354">
              <w:lastRenderedPageBreak/>
              <w:t>Die</w:t>
            </w:r>
            <w:r w:rsidR="0089323D">
              <w:t xml:space="preserve"> während der </w:t>
            </w:r>
            <w:r w:rsidR="0089323D" w:rsidRPr="00D75354">
              <w:t>Corona</w:t>
            </w:r>
            <w:r w:rsidR="0089323D">
              <w:t>pandemie</w:t>
            </w:r>
            <w:r w:rsidR="0089323D" w:rsidRPr="00D75354">
              <w:t xml:space="preserve"> in den </w:t>
            </w:r>
            <w:r w:rsidR="0089323D">
              <w:t xml:space="preserve">Jahren 2020 und 2021 </w:t>
            </w:r>
            <w:r w:rsidRPr="00D75354">
              <w:t>gesammelten Erfahrungen, mit zum Teil weitreichenden psychischen Folgeerscheinungen, haben gezeigt, dass der Schulbetrieb sichergestellt werden muss.</w:t>
            </w:r>
          </w:p>
        </w:tc>
        <w:tc>
          <w:tcPr>
            <w:tcW w:w="532" w:type="dxa"/>
            <w:tcBorders>
              <w:top w:val="nil"/>
              <w:bottom w:val="nil"/>
              <w:right w:val="nil"/>
            </w:tcBorders>
            <w:shd w:val="clear" w:color="auto" w:fill="auto"/>
          </w:tcPr>
          <w:p w14:paraId="6D1F6DC8" w14:textId="77777777" w:rsidR="005E5D65" w:rsidRPr="00630F54" w:rsidRDefault="005E5D65" w:rsidP="00600255">
            <w:pPr>
              <w:rPr>
                <w:b/>
              </w:rPr>
            </w:pPr>
          </w:p>
        </w:tc>
      </w:tr>
      <w:tr w:rsidR="005E5D65" w14:paraId="3CE250B3" w14:textId="77777777" w:rsidTr="00600255">
        <w:tc>
          <w:tcPr>
            <w:tcW w:w="2943" w:type="dxa"/>
          </w:tcPr>
          <w:p w14:paraId="0E43DC28" w14:textId="36B327EF" w:rsidR="005E5D65" w:rsidRDefault="005E5D65" w:rsidP="00600255">
            <w:r w:rsidRPr="007D4776">
              <w:t xml:space="preserve">NEU </w:t>
            </w:r>
            <w:r w:rsidR="0089323D">
              <w:t>Artikel 2a</w:t>
            </w:r>
            <w:r w:rsidRPr="007D4776">
              <w:t xml:space="preserve"> Ausnahmen</w:t>
            </w:r>
          </w:p>
        </w:tc>
        <w:tc>
          <w:tcPr>
            <w:tcW w:w="5529" w:type="dxa"/>
          </w:tcPr>
          <w:p w14:paraId="5C61B54F" w14:textId="77777777" w:rsidR="005E5D65" w:rsidRDefault="005E5D65" w:rsidP="00600255">
            <w:r>
              <w:t>Im Sinne einer Präzisierung und Erweiterung der bereits in der Stellungnahme der EnDK aufgeführten Ausnahmen:</w:t>
            </w:r>
            <w:r w:rsidRPr="00320485">
              <w:t xml:space="preserve"> </w:t>
            </w:r>
            <w:r w:rsidRPr="0063452C">
              <w:t xml:space="preserve">Strafvollzugsanstalten </w:t>
            </w:r>
            <w:r w:rsidRPr="00AC6E48">
              <w:t>sind von Kontingentierungsmassnahmen auszunehmen</w:t>
            </w:r>
            <w:r>
              <w:t xml:space="preserve"> oder zumindest </w:t>
            </w:r>
            <w:r w:rsidRPr="0063452C">
              <w:t xml:space="preserve">mit einem verminderten Prozentsatz </w:t>
            </w:r>
            <w:r>
              <w:t xml:space="preserve">zu </w:t>
            </w:r>
            <w:r w:rsidRPr="0063452C">
              <w:t>kontingentier</w:t>
            </w:r>
            <w:r>
              <w:t>en</w:t>
            </w:r>
            <w:r w:rsidRPr="00AC6E48">
              <w:t>.</w:t>
            </w:r>
          </w:p>
        </w:tc>
        <w:tc>
          <w:tcPr>
            <w:tcW w:w="5620" w:type="dxa"/>
          </w:tcPr>
          <w:p w14:paraId="2B757C2E" w14:textId="30EC1327" w:rsidR="005E5D65" w:rsidRDefault="005E5D65" w:rsidP="00600255">
            <w:pPr>
              <w:pStyle w:val="Blocktext"/>
            </w:pPr>
            <w:r w:rsidRPr="0063452C">
              <w:t>In den Strafvollzugsanstalten sind fast keine freiwilligen Energiesparmassnahmen möglich. Insbesondere benötigen die Systeme zur Sicherheit nach innen wie nach aussen Strom und können nicht eingeschränkt werden. Lediglich bei den Betriebs- und Werkstätten besteht ein (teilweise sogar grosses) Sparpoten</w:t>
            </w:r>
            <w:r w:rsidR="0089323D">
              <w:t>z</w:t>
            </w:r>
            <w:r w:rsidRPr="0063452C">
              <w:t xml:space="preserve">ial. Eine längerfristige Einstellung der Betriebe wegen Kontingentierungen hätte jedoch </w:t>
            </w:r>
            <w:r w:rsidR="0089323D">
              <w:t>starke</w:t>
            </w:r>
            <w:r w:rsidRPr="0063452C">
              <w:t xml:space="preserve"> Auswirkungen auf die Tagesstruktur der inhaftierten Personen. Anders als eine längerfristige Kontingentierung ist eine Sofortkontingentierung auch in den Strafvollzugsanstalten möglich</w:t>
            </w:r>
            <w:r>
              <w:t>.</w:t>
            </w:r>
          </w:p>
        </w:tc>
        <w:tc>
          <w:tcPr>
            <w:tcW w:w="532" w:type="dxa"/>
            <w:tcBorders>
              <w:top w:val="nil"/>
              <w:bottom w:val="nil"/>
              <w:right w:val="nil"/>
            </w:tcBorders>
            <w:shd w:val="clear" w:color="auto" w:fill="auto"/>
          </w:tcPr>
          <w:p w14:paraId="5529BA70" w14:textId="77777777" w:rsidR="005E5D65" w:rsidRPr="00630F54" w:rsidRDefault="005E5D65" w:rsidP="00600255">
            <w:pPr>
              <w:rPr>
                <w:b/>
              </w:rPr>
            </w:pPr>
          </w:p>
        </w:tc>
      </w:tr>
      <w:tr w:rsidR="005E5D65" w14:paraId="2A4DFECF" w14:textId="77777777" w:rsidTr="00600255">
        <w:tc>
          <w:tcPr>
            <w:tcW w:w="2943" w:type="dxa"/>
          </w:tcPr>
          <w:p w14:paraId="513EC016" w14:textId="00D0171D" w:rsidR="005E5D65" w:rsidRPr="007D4776" w:rsidRDefault="005E5D65" w:rsidP="00600255">
            <w:r w:rsidRPr="007D4776">
              <w:t xml:space="preserve">NEU </w:t>
            </w:r>
            <w:r w:rsidR="0089323D">
              <w:t>Artikel 2a</w:t>
            </w:r>
            <w:r w:rsidRPr="007D4776">
              <w:t xml:space="preserve"> Ausnahmen</w:t>
            </w:r>
          </w:p>
        </w:tc>
        <w:tc>
          <w:tcPr>
            <w:tcW w:w="5529" w:type="dxa"/>
          </w:tcPr>
          <w:p w14:paraId="6F5BFCC2" w14:textId="77777777" w:rsidR="005E5D65" w:rsidRDefault="005E5D65" w:rsidP="00600255">
            <w:r>
              <w:t>Im Sinne einer Präzisierung und Erweiterung der bereits in der Stellungnahme der EnDK aufgeführten Ausnahmen:</w:t>
            </w:r>
            <w:r w:rsidRPr="00320485">
              <w:t xml:space="preserve"> </w:t>
            </w:r>
            <w:r>
              <w:t>Anlagen</w:t>
            </w:r>
            <w:r w:rsidRPr="005922CE">
              <w:t xml:space="preserve"> mit Untersuchungsgefängnissen sind von einer Kontingentierung auszunehmen.</w:t>
            </w:r>
          </w:p>
        </w:tc>
        <w:tc>
          <w:tcPr>
            <w:tcW w:w="5620" w:type="dxa"/>
          </w:tcPr>
          <w:p w14:paraId="36FC867A" w14:textId="7ED6EEDA" w:rsidR="005E5D65" w:rsidRPr="0063452C" w:rsidRDefault="005E5D65" w:rsidP="00600255">
            <w:pPr>
              <w:pStyle w:val="Blocktext"/>
            </w:pPr>
            <w:r w:rsidRPr="005922CE">
              <w:t>Untersuchungsgefängnisse befi</w:t>
            </w:r>
            <w:r>
              <w:t>nden sich in aller Regel in A</w:t>
            </w:r>
            <w:r w:rsidRPr="005922CE">
              <w:t xml:space="preserve">nlagen, worin neben dem Gefängnis das entsprechende </w:t>
            </w:r>
            <w:r>
              <w:t>G</w:t>
            </w:r>
            <w:r w:rsidRPr="005922CE">
              <w:t xml:space="preserve">ericht wie auch mehrheitlich ein Polizeiposten untergebracht </w:t>
            </w:r>
            <w:r w:rsidR="0089323D">
              <w:t>sind</w:t>
            </w:r>
            <w:r w:rsidRPr="005922CE">
              <w:t xml:space="preserve">. </w:t>
            </w:r>
            <w:r>
              <w:t>Dabei</w:t>
            </w:r>
            <w:r w:rsidRPr="005922CE">
              <w:t xml:space="preserve"> erweisen sich sowohl der Gefängnisbetrieb als auch die Rechtspflege und die Polizei als systemrelevante Institutionen</w:t>
            </w:r>
            <w:r>
              <w:t>, deren Betrieb im Rahmen einer</w:t>
            </w:r>
            <w:r w:rsidRPr="005922CE">
              <w:t xml:space="preserve"> Kontingentierungsperiode nicht eingestellt werden kann.</w:t>
            </w:r>
          </w:p>
        </w:tc>
        <w:tc>
          <w:tcPr>
            <w:tcW w:w="532" w:type="dxa"/>
            <w:tcBorders>
              <w:top w:val="nil"/>
              <w:bottom w:val="nil"/>
              <w:right w:val="nil"/>
            </w:tcBorders>
            <w:shd w:val="clear" w:color="auto" w:fill="auto"/>
          </w:tcPr>
          <w:p w14:paraId="10BFD4A9" w14:textId="77777777" w:rsidR="005E5D65" w:rsidRPr="00630F54" w:rsidRDefault="005E5D65" w:rsidP="00600255">
            <w:pPr>
              <w:rPr>
                <w:b/>
              </w:rPr>
            </w:pPr>
          </w:p>
        </w:tc>
      </w:tr>
    </w:tbl>
    <w:p w14:paraId="0D351382" w14:textId="77777777" w:rsidR="005E5D65" w:rsidRPr="00B84780" w:rsidRDefault="005E5D65" w:rsidP="005E5D65">
      <w:pPr>
        <w:pStyle w:val="berschrift1"/>
        <w:rPr>
          <w:lang w:val="fr-CH"/>
        </w:rPr>
      </w:pPr>
      <w:bookmarkStart w:id="7" w:name="_Toc120091576"/>
      <w:r w:rsidRPr="00B84780">
        <w:rPr>
          <w:lang w:val="fr-CH"/>
        </w:rPr>
        <w:lastRenderedPageBreak/>
        <w:t>Verordnung über die Abschaltung von Stromnetzen zur Sicherstellung der Elektrizitätsversorgung inkl. Kommentar / Ordonnance sur le délestage des réseaux électriques pour assurer l’approvisionnement en électricité et commentaire y relatif / Ordinanza sul disinserimento di reti elettriche per garantire l’approvvigionamento di elettricità</w:t>
      </w:r>
      <w:bookmarkEnd w:id="7"/>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5E5D65" w14:paraId="18A3755A" w14:textId="77777777" w:rsidTr="00600255">
        <w:trPr>
          <w:tblHeader/>
        </w:trPr>
        <w:tc>
          <w:tcPr>
            <w:tcW w:w="14092" w:type="dxa"/>
            <w:tcBorders>
              <w:top w:val="single" w:sz="4" w:space="0" w:color="auto"/>
              <w:left w:val="single" w:sz="4" w:space="0" w:color="auto"/>
              <w:bottom w:val="nil"/>
              <w:right w:val="single" w:sz="4" w:space="0" w:color="auto"/>
            </w:tcBorders>
          </w:tcPr>
          <w:p w14:paraId="483A2091" w14:textId="77777777" w:rsidR="005E5D65" w:rsidRDefault="005E5D65" w:rsidP="00600255">
            <w:pPr>
              <w:pStyle w:val="Betreff"/>
              <w:spacing w:before="0" w:line="240" w:lineRule="auto"/>
            </w:pPr>
            <w:r>
              <w:t>Allgemeine Bemerkungen / Remarques générales / Osservazioni generali:</w:t>
            </w:r>
          </w:p>
        </w:tc>
        <w:tc>
          <w:tcPr>
            <w:tcW w:w="532" w:type="dxa"/>
            <w:tcBorders>
              <w:top w:val="nil"/>
              <w:left w:val="single" w:sz="4" w:space="0" w:color="auto"/>
              <w:bottom w:val="nil"/>
              <w:right w:val="nil"/>
            </w:tcBorders>
            <w:shd w:val="clear" w:color="auto" w:fill="auto"/>
          </w:tcPr>
          <w:p w14:paraId="7900394F" w14:textId="77777777" w:rsidR="005E5D65" w:rsidRDefault="005E5D65" w:rsidP="00600255">
            <w:pPr>
              <w:pStyle w:val="Betreff"/>
              <w:widowControl/>
              <w:spacing w:before="0" w:after="0" w:line="240" w:lineRule="auto"/>
            </w:pPr>
          </w:p>
        </w:tc>
      </w:tr>
      <w:tr w:rsidR="005E5D65" w14:paraId="5EFEDDA0" w14:textId="77777777" w:rsidTr="00600255">
        <w:trPr>
          <w:cantSplit/>
          <w:trHeight w:val="1134"/>
          <w:tblHeader/>
        </w:trPr>
        <w:tc>
          <w:tcPr>
            <w:tcW w:w="14092" w:type="dxa"/>
            <w:tcBorders>
              <w:top w:val="nil"/>
              <w:left w:val="single" w:sz="4" w:space="0" w:color="auto"/>
              <w:bottom w:val="single" w:sz="4" w:space="0" w:color="auto"/>
              <w:right w:val="single" w:sz="4" w:space="0" w:color="auto"/>
            </w:tcBorders>
          </w:tcPr>
          <w:p w14:paraId="04627AC7" w14:textId="77777777" w:rsidR="0089323D" w:rsidRDefault="0089323D" w:rsidP="0089323D">
            <w:pPr>
              <w:pStyle w:val="Listenabsatz"/>
              <w:numPr>
                <w:ilvl w:val="0"/>
                <w:numId w:val="18"/>
              </w:numPr>
              <w:spacing w:after="120"/>
              <w:contextualSpacing w:val="0"/>
            </w:pPr>
            <w:r w:rsidRPr="00015BB8">
              <w:rPr>
                <w:u w:val="single"/>
              </w:rPr>
              <w:t xml:space="preserve">Wir unterstützen die Stellungnahme der </w:t>
            </w:r>
            <w:r>
              <w:rPr>
                <w:u w:val="single"/>
              </w:rPr>
              <w:t xml:space="preserve">Konferenz Kantonaler </w:t>
            </w:r>
            <w:r w:rsidRPr="00015BB8">
              <w:rPr>
                <w:u w:val="single"/>
              </w:rPr>
              <w:t xml:space="preserve">Energiedirektoren </w:t>
            </w:r>
            <w:r>
              <w:rPr>
                <w:u w:val="single"/>
              </w:rPr>
              <w:t xml:space="preserve">(EnDK) </w:t>
            </w:r>
            <w:r w:rsidRPr="00015BB8">
              <w:rPr>
                <w:u w:val="single"/>
              </w:rPr>
              <w:t>vom 2. Dezember 2022</w:t>
            </w:r>
            <w:r w:rsidRPr="00015BB8">
              <w:t xml:space="preserve">, die unter Einbezug der Konferenz </w:t>
            </w:r>
            <w:r>
              <w:t>K</w:t>
            </w:r>
            <w:r w:rsidRPr="00015BB8">
              <w:t>antonaler Volkswirtschaftsdirektor</w:t>
            </w:r>
            <w:r>
              <w:t>inn</w:t>
            </w:r>
            <w:r w:rsidRPr="00015BB8">
              <w:t xml:space="preserve">en </w:t>
            </w:r>
            <w:r>
              <w:t xml:space="preserve">und </w:t>
            </w:r>
            <w:r w:rsidRPr="00015BB8">
              <w:t>Volkswirtschaftsdirektoren, der Bau-, Planungs- und Umweltdirektoren</w:t>
            </w:r>
            <w:r>
              <w:t>-K</w:t>
            </w:r>
            <w:r w:rsidRPr="00015BB8">
              <w:t xml:space="preserve">onferenz, </w:t>
            </w:r>
            <w:r w:rsidRPr="002F357F">
              <w:t>der</w:t>
            </w:r>
            <w:r>
              <w:t> </w:t>
            </w:r>
            <w:r w:rsidRPr="002F357F">
              <w:t>Konferenz der kantonalen Gesundheitsdirektorinnen und -direktoren, der Konferenz der Kantonalen</w:t>
            </w:r>
            <w:r w:rsidRPr="00015BB8">
              <w:t xml:space="preserve"> Justiz- und Polizeidirektorinnen und -direktoren, der Regierungskonferenz Militär, Zivilschutz und Feuerwehr, der</w:t>
            </w:r>
            <w:r>
              <w:t xml:space="preserve"> </w:t>
            </w:r>
            <w:r w:rsidRPr="00015BB8">
              <w:t xml:space="preserve">Konferenz der </w:t>
            </w:r>
            <w:r>
              <w:t>k</w:t>
            </w:r>
            <w:r w:rsidRPr="00015BB8">
              <w:t>antonalen Sozialdirektorinnen und Sozialdi</w:t>
            </w:r>
            <w:r>
              <w:t>rektoren sowie der Konferenz der k</w:t>
            </w:r>
            <w:r w:rsidRPr="00015BB8">
              <w:t>antonalen Landwirtschaftsdirektoren erarbeitet wurde.</w:t>
            </w:r>
          </w:p>
          <w:p w14:paraId="281B2EE6" w14:textId="77777777" w:rsidR="005E5D65" w:rsidRDefault="005E5D65" w:rsidP="0089323D">
            <w:pPr>
              <w:pStyle w:val="Listenabsatz"/>
              <w:numPr>
                <w:ilvl w:val="0"/>
                <w:numId w:val="18"/>
              </w:numPr>
            </w:pPr>
            <w:r w:rsidRPr="00015BB8">
              <w:t xml:space="preserve">Aus Sicht des Kantons Zürich sind zudem weitere grundsätzliche Punkte sowie Änderungen zu einzelnen Artikeln der Verordnung zu berücksichtigen. Gerne lassen wir Ihnen </w:t>
            </w:r>
            <w:r>
              <w:t xml:space="preserve">diese </w:t>
            </w:r>
            <w:r w:rsidRPr="00015BB8">
              <w:t xml:space="preserve">als </w:t>
            </w:r>
            <w:r w:rsidRPr="00015BB8">
              <w:rPr>
                <w:u w:val="single"/>
              </w:rPr>
              <w:t>Ergänzung zur Stellungnahme der EnDK</w:t>
            </w:r>
            <w:r w:rsidRPr="00015BB8">
              <w:t xml:space="preserve"> </w:t>
            </w:r>
            <w:r>
              <w:t xml:space="preserve">im vorliegenden </w:t>
            </w:r>
            <w:r w:rsidRPr="00015BB8">
              <w:t>Antwortformular zukommen.</w:t>
            </w:r>
          </w:p>
        </w:tc>
        <w:tc>
          <w:tcPr>
            <w:tcW w:w="532" w:type="dxa"/>
            <w:tcBorders>
              <w:top w:val="nil"/>
              <w:left w:val="single" w:sz="4" w:space="0" w:color="auto"/>
              <w:bottom w:val="nil"/>
              <w:right w:val="nil"/>
            </w:tcBorders>
            <w:shd w:val="clear" w:color="auto" w:fill="auto"/>
          </w:tcPr>
          <w:p w14:paraId="35E2F5DD" w14:textId="77777777" w:rsidR="005E5D65" w:rsidRDefault="005E5D65" w:rsidP="00600255">
            <w:pPr>
              <w:rPr>
                <w:b/>
              </w:rPr>
            </w:pPr>
          </w:p>
        </w:tc>
      </w:tr>
    </w:tbl>
    <w:p w14:paraId="728921C2" w14:textId="77777777" w:rsidR="005E5D65" w:rsidRDefault="005E5D65" w:rsidP="005E5D65"/>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5E5D65" w14:paraId="1EA243E9" w14:textId="77777777" w:rsidTr="00600255">
        <w:trPr>
          <w:tblHeader/>
        </w:trPr>
        <w:tc>
          <w:tcPr>
            <w:tcW w:w="2943" w:type="dxa"/>
          </w:tcPr>
          <w:p w14:paraId="11E0F921" w14:textId="77777777" w:rsidR="005E5D65" w:rsidRDefault="005E5D65" w:rsidP="00600255">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7EC21EF5" w14:textId="77777777" w:rsidR="005E5D65" w:rsidRDefault="005E5D65" w:rsidP="00600255">
            <w:pPr>
              <w:spacing w:after="0"/>
              <w:rPr>
                <w:b/>
              </w:rPr>
            </w:pPr>
            <w:r>
              <w:rPr>
                <w:b/>
              </w:rPr>
              <w:t>Antrag</w:t>
            </w:r>
            <w:r>
              <w:rPr>
                <w:b/>
              </w:rPr>
              <w:br/>
              <w:t>Proposition</w:t>
            </w:r>
            <w:r>
              <w:rPr>
                <w:b/>
              </w:rPr>
              <w:br/>
              <w:t>Richiesta</w:t>
            </w:r>
          </w:p>
        </w:tc>
        <w:tc>
          <w:tcPr>
            <w:tcW w:w="5620" w:type="dxa"/>
          </w:tcPr>
          <w:p w14:paraId="782A9124" w14:textId="77777777" w:rsidR="005E5D65" w:rsidRDefault="005E5D65" w:rsidP="00600255">
            <w:pPr>
              <w:spacing w:after="0"/>
              <w:rPr>
                <w:b/>
              </w:rPr>
            </w:pPr>
            <w:r>
              <w:rPr>
                <w:b/>
              </w:rPr>
              <w:t>Begründung / Bemerkung</w:t>
            </w:r>
            <w:r>
              <w:rPr>
                <w:b/>
              </w:rPr>
              <w:br/>
              <w:t>Justification / Remarques</w:t>
            </w:r>
            <w:r>
              <w:rPr>
                <w:b/>
              </w:rPr>
              <w:br/>
              <w:t>Motivazione / Osservazioni</w:t>
            </w:r>
          </w:p>
        </w:tc>
        <w:tc>
          <w:tcPr>
            <w:tcW w:w="532" w:type="dxa"/>
            <w:tcBorders>
              <w:top w:val="nil"/>
              <w:bottom w:val="nil"/>
              <w:right w:val="nil"/>
            </w:tcBorders>
            <w:shd w:val="clear" w:color="auto" w:fill="auto"/>
          </w:tcPr>
          <w:p w14:paraId="140F00E6" w14:textId="77777777" w:rsidR="005E5D65" w:rsidRPr="00630F54" w:rsidRDefault="005E5D65" w:rsidP="00600255">
            <w:pPr>
              <w:widowControl/>
              <w:spacing w:after="0" w:line="240" w:lineRule="auto"/>
              <w:rPr>
                <w:b/>
              </w:rPr>
            </w:pPr>
          </w:p>
        </w:tc>
      </w:tr>
      <w:tr w:rsidR="005E5D65" w14:paraId="7D267059" w14:textId="77777777" w:rsidTr="00600255">
        <w:tc>
          <w:tcPr>
            <w:tcW w:w="2943" w:type="dxa"/>
          </w:tcPr>
          <w:p w14:paraId="5213F8A4" w14:textId="606E634F" w:rsidR="005E5D65" w:rsidRDefault="0089323D" w:rsidP="00600255">
            <w:r>
              <w:t>Art. </w:t>
            </w:r>
            <w:r w:rsidR="005E5D65">
              <w:t>4</w:t>
            </w:r>
          </w:p>
        </w:tc>
        <w:tc>
          <w:tcPr>
            <w:tcW w:w="5529" w:type="dxa"/>
          </w:tcPr>
          <w:p w14:paraId="633691DA" w14:textId="77777777" w:rsidR="005E5D65" w:rsidRPr="00894ED8" w:rsidRDefault="005E5D65" w:rsidP="00600255">
            <w:pPr>
              <w:rPr>
                <w:i/>
                <w:iCs/>
              </w:rPr>
            </w:pPr>
            <w:r>
              <w:t xml:space="preserve">Ergänzung, dass </w:t>
            </w:r>
            <w:r w:rsidRPr="006D3330">
              <w:t>Endverbraucherinnen und Endverbraucher</w:t>
            </w:r>
            <w:r>
              <w:t>, die von Netzabschaltungen ausgenommen wären, aus technischen Gründen aber nicht ausgenommen werden können, von den Vorgaben der Luftreinhalte-Verordnung (LRV; SR 814.318.142.1) abweichen dürfen.</w:t>
            </w:r>
          </w:p>
        </w:tc>
        <w:tc>
          <w:tcPr>
            <w:tcW w:w="5620" w:type="dxa"/>
          </w:tcPr>
          <w:p w14:paraId="3F865613" w14:textId="3496B5C8" w:rsidR="005E5D65" w:rsidRDefault="005E5D65" w:rsidP="00600255">
            <w:r>
              <w:t xml:space="preserve">Wir begrüssen, dass die in </w:t>
            </w:r>
            <w:r w:rsidR="0089323D">
              <w:t>Art. </w:t>
            </w:r>
            <w:r>
              <w:t xml:space="preserve">4 aufgeführten </w:t>
            </w:r>
            <w:r w:rsidRPr="006D3330">
              <w:t>Endverbraucherinnen und Endverbraucher</w:t>
            </w:r>
            <w:r>
              <w:t xml:space="preserve"> ausdrücklich von Netzabschaltungen ausgenommen sind. Bei vielen ist dies aus technischen Gründen problematisch bzw. nicht möglich. Einige dieser </w:t>
            </w:r>
            <w:r w:rsidRPr="006D3330">
              <w:t>Endverbraucherinnen und Endverbraucher</w:t>
            </w:r>
            <w:r>
              <w:t xml:space="preserve"> verfügen für diesen Fall über Notstromaggregate. Je nach Dauer einer Abschaltung und der davon abhängigen </w:t>
            </w:r>
            <w:r>
              <w:lastRenderedPageBreak/>
              <w:t xml:space="preserve">Betriebszeit der Notstromaggregate ist fraglich, ob die Luftreinhalte-Verordnung (LRV; SR 814.318.142.1) eingehalten werden kann. </w:t>
            </w:r>
          </w:p>
        </w:tc>
        <w:tc>
          <w:tcPr>
            <w:tcW w:w="532" w:type="dxa"/>
            <w:tcBorders>
              <w:top w:val="nil"/>
              <w:bottom w:val="nil"/>
              <w:right w:val="nil"/>
            </w:tcBorders>
            <w:shd w:val="clear" w:color="auto" w:fill="auto"/>
          </w:tcPr>
          <w:p w14:paraId="1FA0F6BD" w14:textId="77777777" w:rsidR="005E5D65" w:rsidRPr="00630F54" w:rsidRDefault="005E5D65" w:rsidP="00600255">
            <w:pPr>
              <w:rPr>
                <w:b/>
              </w:rPr>
            </w:pPr>
          </w:p>
        </w:tc>
      </w:tr>
      <w:tr w:rsidR="005E5D65" w14:paraId="7AA3475B" w14:textId="77777777" w:rsidTr="00600255">
        <w:trPr>
          <w:tblHeader/>
        </w:trPr>
        <w:tc>
          <w:tcPr>
            <w:tcW w:w="2943" w:type="dxa"/>
          </w:tcPr>
          <w:p w14:paraId="46B0EF4E" w14:textId="6D7EC46D" w:rsidR="005E5D65" w:rsidRPr="006D3330" w:rsidRDefault="0089323D" w:rsidP="00600255">
            <w:pPr>
              <w:spacing w:after="0"/>
              <w:rPr>
                <w:lang w:val="it-CH"/>
              </w:rPr>
            </w:pPr>
            <w:r>
              <w:rPr>
                <w:lang w:val="it-CH"/>
              </w:rPr>
              <w:t>Art. </w:t>
            </w:r>
            <w:r w:rsidR="005E5D65" w:rsidRPr="006D3330">
              <w:rPr>
                <w:lang w:val="it-CH"/>
              </w:rPr>
              <w:t>4</w:t>
            </w:r>
          </w:p>
        </w:tc>
        <w:tc>
          <w:tcPr>
            <w:tcW w:w="5529" w:type="dxa"/>
          </w:tcPr>
          <w:p w14:paraId="0CD96F9C" w14:textId="77777777" w:rsidR="005E5D65" w:rsidRPr="006D3330" w:rsidRDefault="005E5D65" w:rsidP="00600255">
            <w:pPr>
              <w:spacing w:after="0"/>
            </w:pPr>
            <w:r w:rsidRPr="006D3330">
              <w:t>Auf die Bezeichnung «medizinische Grundversorgung» ist zu verzichten; an ihrer Stelle ist die Bezeichnung «medizinische Versorgung» zu verwenden.</w:t>
            </w:r>
          </w:p>
        </w:tc>
        <w:tc>
          <w:tcPr>
            <w:tcW w:w="5620" w:type="dxa"/>
          </w:tcPr>
          <w:p w14:paraId="0C9B7935" w14:textId="77777777" w:rsidR="005E5D65" w:rsidRPr="00B3573B" w:rsidRDefault="005E5D65" w:rsidP="00600255">
            <w:pPr>
              <w:spacing w:after="0"/>
              <w:rPr>
                <w:bCs/>
              </w:rPr>
            </w:pPr>
            <w:r w:rsidRPr="006D3330">
              <w:rPr>
                <w:bCs/>
              </w:rPr>
              <w:t xml:space="preserve">Von den Abschaltungen ausgenommen ist – soweit technisch möglich – die «medizinische Grundversorgung in Spitälern und Pflegeeinrichtungen». Diese Bestimmung ist insofern unklar, als nicht definiert ist, </w:t>
            </w:r>
            <w:r>
              <w:rPr>
                <w:bCs/>
              </w:rPr>
              <w:t>was mit «medizinischer Grundver</w:t>
            </w:r>
            <w:r w:rsidRPr="006D3330">
              <w:rPr>
                <w:bCs/>
              </w:rPr>
              <w:t xml:space="preserve">sorgung» gemeint ist. Sind Institutionen bzw. deren Leistungsbereiche der spezialisierten (Zentrumspitäler) und der hochspezialisierten Versorgung (Universitätsspitäler) nicht von den Abschaltungen ausgenommen? Dies kann kaum die </w:t>
            </w:r>
            <w:r>
              <w:rPr>
                <w:bCs/>
              </w:rPr>
              <w:t>Absicht sein, da gerade den uni</w:t>
            </w:r>
            <w:r w:rsidRPr="006D3330">
              <w:rPr>
                <w:bCs/>
              </w:rPr>
              <w:t>versitären Endversorgungsspitälern grösste Versorgungsrelevanz zukommt.</w:t>
            </w:r>
          </w:p>
        </w:tc>
        <w:tc>
          <w:tcPr>
            <w:tcW w:w="532" w:type="dxa"/>
            <w:tcBorders>
              <w:top w:val="nil"/>
              <w:bottom w:val="nil"/>
              <w:right w:val="nil"/>
            </w:tcBorders>
            <w:shd w:val="clear" w:color="auto" w:fill="auto"/>
          </w:tcPr>
          <w:p w14:paraId="4385AF4F" w14:textId="77777777" w:rsidR="005E5D65" w:rsidRPr="00630F54" w:rsidRDefault="005E5D65" w:rsidP="00600255">
            <w:pPr>
              <w:widowControl/>
              <w:spacing w:after="0" w:line="240" w:lineRule="auto"/>
              <w:rPr>
                <w:b/>
              </w:rPr>
            </w:pPr>
          </w:p>
        </w:tc>
      </w:tr>
      <w:tr w:rsidR="005E5D65" w14:paraId="2D927832" w14:textId="77777777" w:rsidTr="00600255">
        <w:tc>
          <w:tcPr>
            <w:tcW w:w="2943" w:type="dxa"/>
          </w:tcPr>
          <w:p w14:paraId="64F57035" w14:textId="77777777" w:rsidR="005E5D65" w:rsidRPr="00293556" w:rsidRDefault="005E5D65" w:rsidP="00600255"/>
        </w:tc>
        <w:tc>
          <w:tcPr>
            <w:tcW w:w="5529" w:type="dxa"/>
          </w:tcPr>
          <w:p w14:paraId="36DE8EBA" w14:textId="77777777" w:rsidR="005E5D65" w:rsidRPr="00293556" w:rsidRDefault="005E5D65" w:rsidP="00600255"/>
        </w:tc>
        <w:tc>
          <w:tcPr>
            <w:tcW w:w="5620" w:type="dxa"/>
          </w:tcPr>
          <w:p w14:paraId="13163783" w14:textId="77777777" w:rsidR="005E5D65" w:rsidRPr="006D3330" w:rsidRDefault="005E5D65" w:rsidP="00600255"/>
        </w:tc>
        <w:tc>
          <w:tcPr>
            <w:tcW w:w="532" w:type="dxa"/>
            <w:tcBorders>
              <w:top w:val="nil"/>
              <w:bottom w:val="nil"/>
              <w:right w:val="nil"/>
            </w:tcBorders>
            <w:shd w:val="clear" w:color="auto" w:fill="auto"/>
          </w:tcPr>
          <w:p w14:paraId="565C4A12" w14:textId="77777777" w:rsidR="005E5D65" w:rsidRPr="00630F54" w:rsidRDefault="005E5D65" w:rsidP="00600255">
            <w:pPr>
              <w:rPr>
                <w:b/>
              </w:rPr>
            </w:pPr>
          </w:p>
        </w:tc>
      </w:tr>
      <w:tr w:rsidR="005E5D65" w14:paraId="4A3D9D8D" w14:textId="77777777" w:rsidTr="00600255">
        <w:tc>
          <w:tcPr>
            <w:tcW w:w="2943" w:type="dxa"/>
          </w:tcPr>
          <w:p w14:paraId="6719DFF7" w14:textId="77777777" w:rsidR="005E5D65" w:rsidRPr="00630F54" w:rsidRDefault="005E5D65" w:rsidP="00600255"/>
        </w:tc>
        <w:tc>
          <w:tcPr>
            <w:tcW w:w="5529" w:type="dxa"/>
          </w:tcPr>
          <w:p w14:paraId="66B203B5" w14:textId="77777777" w:rsidR="005E5D65" w:rsidRPr="00630F54" w:rsidRDefault="005E5D65" w:rsidP="00600255"/>
        </w:tc>
        <w:tc>
          <w:tcPr>
            <w:tcW w:w="5620" w:type="dxa"/>
          </w:tcPr>
          <w:p w14:paraId="5645360E" w14:textId="77777777" w:rsidR="005E5D65" w:rsidRPr="00630F54" w:rsidRDefault="005E5D65" w:rsidP="00600255"/>
        </w:tc>
        <w:tc>
          <w:tcPr>
            <w:tcW w:w="532" w:type="dxa"/>
            <w:tcBorders>
              <w:top w:val="nil"/>
              <w:bottom w:val="nil"/>
              <w:right w:val="nil"/>
            </w:tcBorders>
            <w:shd w:val="clear" w:color="auto" w:fill="auto"/>
          </w:tcPr>
          <w:p w14:paraId="3837A83A" w14:textId="77777777" w:rsidR="005E5D65" w:rsidRPr="00630F54" w:rsidRDefault="005E5D65" w:rsidP="00600255">
            <w:pPr>
              <w:rPr>
                <w:b/>
              </w:rPr>
            </w:pPr>
          </w:p>
        </w:tc>
      </w:tr>
      <w:tr w:rsidR="005E5D65" w14:paraId="7C572F6C" w14:textId="77777777" w:rsidTr="00600255">
        <w:tc>
          <w:tcPr>
            <w:tcW w:w="2943" w:type="dxa"/>
          </w:tcPr>
          <w:p w14:paraId="38D1F3F4" w14:textId="77777777" w:rsidR="005E5D65" w:rsidRPr="00630F54" w:rsidRDefault="005E5D65" w:rsidP="00600255"/>
        </w:tc>
        <w:tc>
          <w:tcPr>
            <w:tcW w:w="5529" w:type="dxa"/>
          </w:tcPr>
          <w:p w14:paraId="6988A74A" w14:textId="77777777" w:rsidR="005E5D65" w:rsidRPr="00630F54" w:rsidRDefault="005E5D65" w:rsidP="00600255"/>
        </w:tc>
        <w:tc>
          <w:tcPr>
            <w:tcW w:w="5620" w:type="dxa"/>
          </w:tcPr>
          <w:p w14:paraId="3A869EF2" w14:textId="77777777" w:rsidR="005E5D65" w:rsidRPr="00630F54" w:rsidRDefault="005E5D65" w:rsidP="00600255"/>
        </w:tc>
        <w:tc>
          <w:tcPr>
            <w:tcW w:w="532" w:type="dxa"/>
            <w:tcBorders>
              <w:top w:val="nil"/>
              <w:bottom w:val="nil"/>
              <w:right w:val="nil"/>
            </w:tcBorders>
            <w:shd w:val="clear" w:color="auto" w:fill="auto"/>
          </w:tcPr>
          <w:p w14:paraId="598C7451" w14:textId="77777777" w:rsidR="005E5D65" w:rsidRPr="00630F54" w:rsidRDefault="005E5D65" w:rsidP="00600255">
            <w:pPr>
              <w:rPr>
                <w:b/>
              </w:rPr>
            </w:pPr>
          </w:p>
        </w:tc>
      </w:tr>
      <w:tr w:rsidR="005E5D65" w14:paraId="4D77667A" w14:textId="77777777" w:rsidTr="00600255">
        <w:tc>
          <w:tcPr>
            <w:tcW w:w="2943" w:type="dxa"/>
          </w:tcPr>
          <w:p w14:paraId="37C346EF" w14:textId="77777777" w:rsidR="005E5D65" w:rsidRDefault="005E5D65" w:rsidP="00600255"/>
        </w:tc>
        <w:tc>
          <w:tcPr>
            <w:tcW w:w="5529" w:type="dxa"/>
          </w:tcPr>
          <w:p w14:paraId="59850CAC" w14:textId="77777777" w:rsidR="005E5D65" w:rsidRDefault="005E5D65" w:rsidP="00600255"/>
        </w:tc>
        <w:tc>
          <w:tcPr>
            <w:tcW w:w="5620" w:type="dxa"/>
          </w:tcPr>
          <w:p w14:paraId="6044181F" w14:textId="77777777" w:rsidR="005E5D65" w:rsidRDefault="005E5D65" w:rsidP="00600255">
            <w:pPr>
              <w:pStyle w:val="Blocktext"/>
            </w:pPr>
          </w:p>
        </w:tc>
        <w:tc>
          <w:tcPr>
            <w:tcW w:w="532" w:type="dxa"/>
            <w:tcBorders>
              <w:top w:val="nil"/>
              <w:bottom w:val="nil"/>
              <w:right w:val="nil"/>
            </w:tcBorders>
            <w:shd w:val="clear" w:color="auto" w:fill="auto"/>
          </w:tcPr>
          <w:p w14:paraId="2F5E3DD8" w14:textId="77777777" w:rsidR="005E5D65" w:rsidRPr="00630F54" w:rsidRDefault="005E5D65" w:rsidP="00600255">
            <w:pPr>
              <w:rPr>
                <w:b/>
              </w:rPr>
            </w:pPr>
          </w:p>
        </w:tc>
      </w:tr>
      <w:tr w:rsidR="005E5D65" w14:paraId="5325EB77" w14:textId="77777777" w:rsidTr="00600255">
        <w:tc>
          <w:tcPr>
            <w:tcW w:w="2943" w:type="dxa"/>
          </w:tcPr>
          <w:p w14:paraId="78A33C72" w14:textId="77777777" w:rsidR="005E5D65" w:rsidRPr="00630F54" w:rsidRDefault="005E5D65" w:rsidP="00600255"/>
        </w:tc>
        <w:tc>
          <w:tcPr>
            <w:tcW w:w="5529" w:type="dxa"/>
          </w:tcPr>
          <w:p w14:paraId="2952D15C" w14:textId="77777777" w:rsidR="005E5D65" w:rsidRPr="00630F54" w:rsidRDefault="005E5D65" w:rsidP="00600255"/>
        </w:tc>
        <w:tc>
          <w:tcPr>
            <w:tcW w:w="5620" w:type="dxa"/>
          </w:tcPr>
          <w:p w14:paraId="69367848" w14:textId="77777777" w:rsidR="005E5D65" w:rsidRPr="00630F54" w:rsidRDefault="005E5D65" w:rsidP="00600255"/>
        </w:tc>
        <w:tc>
          <w:tcPr>
            <w:tcW w:w="532" w:type="dxa"/>
            <w:tcBorders>
              <w:top w:val="nil"/>
              <w:bottom w:val="nil"/>
              <w:right w:val="nil"/>
            </w:tcBorders>
            <w:shd w:val="clear" w:color="auto" w:fill="auto"/>
          </w:tcPr>
          <w:p w14:paraId="69B15565" w14:textId="77777777" w:rsidR="005E5D65" w:rsidRPr="00630F54" w:rsidRDefault="005E5D65" w:rsidP="00600255">
            <w:pPr>
              <w:rPr>
                <w:b/>
              </w:rPr>
            </w:pPr>
          </w:p>
        </w:tc>
      </w:tr>
      <w:tr w:rsidR="005E5D65" w14:paraId="491CF266" w14:textId="77777777" w:rsidTr="00600255">
        <w:tc>
          <w:tcPr>
            <w:tcW w:w="2943" w:type="dxa"/>
          </w:tcPr>
          <w:p w14:paraId="70C72405" w14:textId="77777777" w:rsidR="005E5D65" w:rsidRPr="00630F54" w:rsidRDefault="005E5D65" w:rsidP="00600255"/>
        </w:tc>
        <w:tc>
          <w:tcPr>
            <w:tcW w:w="5529" w:type="dxa"/>
          </w:tcPr>
          <w:p w14:paraId="22BDD452" w14:textId="77777777" w:rsidR="005E5D65" w:rsidRPr="00630F54" w:rsidRDefault="005E5D65" w:rsidP="00600255"/>
        </w:tc>
        <w:tc>
          <w:tcPr>
            <w:tcW w:w="5620" w:type="dxa"/>
          </w:tcPr>
          <w:p w14:paraId="6787150B" w14:textId="77777777" w:rsidR="005E5D65" w:rsidRPr="00630F54" w:rsidRDefault="005E5D65" w:rsidP="00600255"/>
        </w:tc>
        <w:tc>
          <w:tcPr>
            <w:tcW w:w="532" w:type="dxa"/>
            <w:tcBorders>
              <w:top w:val="nil"/>
              <w:bottom w:val="nil"/>
              <w:right w:val="nil"/>
            </w:tcBorders>
            <w:shd w:val="clear" w:color="auto" w:fill="auto"/>
          </w:tcPr>
          <w:p w14:paraId="443F3D3C" w14:textId="77777777" w:rsidR="005E5D65" w:rsidRPr="00630F54" w:rsidRDefault="005E5D65" w:rsidP="00600255">
            <w:pPr>
              <w:rPr>
                <w:b/>
              </w:rPr>
            </w:pPr>
          </w:p>
        </w:tc>
      </w:tr>
    </w:tbl>
    <w:p w14:paraId="768C1775" w14:textId="77777777" w:rsidR="005E5D65" w:rsidRPr="00630F54" w:rsidRDefault="005E5D65" w:rsidP="005E5D65"/>
    <w:p w14:paraId="776CCCA0" w14:textId="77777777" w:rsidR="005E5D65" w:rsidRPr="00B84780" w:rsidRDefault="005E5D65" w:rsidP="005E5D65">
      <w:pPr>
        <w:pStyle w:val="berschrift1"/>
        <w:rPr>
          <w:lang w:val="fr-CH"/>
        </w:rPr>
      </w:pPr>
      <w:bookmarkStart w:id="8" w:name="_Toc120091577"/>
      <w:r w:rsidRPr="00B84780">
        <w:rPr>
          <w:lang w:val="fr-CH"/>
        </w:rPr>
        <w:lastRenderedPageBreak/>
        <w:t>Verordnung über die Änderung einer Bestimmung des Landesversorgungsgesetzes / Ordonnance sur la modification d’une disposition de la loi sur l’approvisionnement du pays/ Ordinanza concernente la modifica di una disposizione della legge sull’approvvigionamento del Paese</w:t>
      </w:r>
      <w:bookmarkEnd w:id="8"/>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5E5D65" w14:paraId="5DDAE171" w14:textId="77777777" w:rsidTr="00600255">
        <w:trPr>
          <w:tblHeader/>
        </w:trPr>
        <w:tc>
          <w:tcPr>
            <w:tcW w:w="14092" w:type="dxa"/>
            <w:tcBorders>
              <w:top w:val="single" w:sz="4" w:space="0" w:color="auto"/>
              <w:left w:val="single" w:sz="4" w:space="0" w:color="auto"/>
              <w:bottom w:val="nil"/>
              <w:right w:val="single" w:sz="4" w:space="0" w:color="auto"/>
            </w:tcBorders>
          </w:tcPr>
          <w:p w14:paraId="23F31056" w14:textId="77777777" w:rsidR="005E5D65" w:rsidRDefault="005E5D65" w:rsidP="00600255">
            <w:pPr>
              <w:pStyle w:val="Betreff"/>
              <w:spacing w:before="0" w:after="0" w:line="240" w:lineRule="auto"/>
            </w:pPr>
            <w:r>
              <w:t>Allgemeine Bemerkungen / Remarques générales / Osservazioni generali:</w:t>
            </w:r>
          </w:p>
        </w:tc>
        <w:tc>
          <w:tcPr>
            <w:tcW w:w="532" w:type="dxa"/>
            <w:tcBorders>
              <w:top w:val="nil"/>
              <w:left w:val="single" w:sz="4" w:space="0" w:color="auto"/>
              <w:bottom w:val="nil"/>
              <w:right w:val="nil"/>
            </w:tcBorders>
            <w:shd w:val="clear" w:color="auto" w:fill="auto"/>
          </w:tcPr>
          <w:p w14:paraId="3EC6709C" w14:textId="77777777" w:rsidR="005E5D65" w:rsidRDefault="005E5D65" w:rsidP="00600255">
            <w:pPr>
              <w:pStyle w:val="Betreff"/>
              <w:widowControl/>
              <w:spacing w:before="0" w:after="0" w:line="240" w:lineRule="auto"/>
            </w:pPr>
          </w:p>
        </w:tc>
      </w:tr>
      <w:tr w:rsidR="005E5D65" w14:paraId="11913FA1" w14:textId="77777777" w:rsidTr="00600255">
        <w:trPr>
          <w:cantSplit/>
          <w:trHeight w:val="1134"/>
          <w:tblHeader/>
        </w:trPr>
        <w:tc>
          <w:tcPr>
            <w:tcW w:w="14092" w:type="dxa"/>
            <w:tcBorders>
              <w:top w:val="nil"/>
              <w:left w:val="single" w:sz="4" w:space="0" w:color="auto"/>
              <w:bottom w:val="single" w:sz="4" w:space="0" w:color="auto"/>
              <w:right w:val="single" w:sz="4" w:space="0" w:color="auto"/>
            </w:tcBorders>
          </w:tcPr>
          <w:p w14:paraId="3107A4E9" w14:textId="77777777" w:rsidR="005E5D65" w:rsidRDefault="005E5D65" w:rsidP="00600255">
            <w:r>
              <w:t>Keine Bemerkungen.</w:t>
            </w:r>
          </w:p>
        </w:tc>
        <w:tc>
          <w:tcPr>
            <w:tcW w:w="532" w:type="dxa"/>
            <w:tcBorders>
              <w:top w:val="nil"/>
              <w:left w:val="single" w:sz="4" w:space="0" w:color="auto"/>
              <w:bottom w:val="nil"/>
              <w:right w:val="nil"/>
            </w:tcBorders>
            <w:shd w:val="clear" w:color="auto" w:fill="auto"/>
          </w:tcPr>
          <w:p w14:paraId="0D4E57F6" w14:textId="77777777" w:rsidR="005E5D65" w:rsidRDefault="005E5D65" w:rsidP="00600255">
            <w:pPr>
              <w:rPr>
                <w:b/>
              </w:rPr>
            </w:pPr>
          </w:p>
        </w:tc>
      </w:tr>
    </w:tbl>
    <w:p w14:paraId="0C42AD01" w14:textId="77777777" w:rsidR="005E5D65" w:rsidRDefault="005E5D65" w:rsidP="005E5D65"/>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5E5D65" w14:paraId="2B3DF91E" w14:textId="77777777" w:rsidTr="00600255">
        <w:trPr>
          <w:tblHeader/>
        </w:trPr>
        <w:tc>
          <w:tcPr>
            <w:tcW w:w="2943" w:type="dxa"/>
          </w:tcPr>
          <w:p w14:paraId="74F3A49A" w14:textId="77777777" w:rsidR="005E5D65" w:rsidRDefault="005E5D65" w:rsidP="00600255">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41FE8C59" w14:textId="77777777" w:rsidR="005E5D65" w:rsidRDefault="005E5D65" w:rsidP="00600255">
            <w:pPr>
              <w:spacing w:after="0"/>
              <w:rPr>
                <w:b/>
              </w:rPr>
            </w:pPr>
            <w:r>
              <w:rPr>
                <w:b/>
              </w:rPr>
              <w:t>Antrag</w:t>
            </w:r>
            <w:r>
              <w:rPr>
                <w:b/>
              </w:rPr>
              <w:br/>
              <w:t>Proposition</w:t>
            </w:r>
            <w:r>
              <w:rPr>
                <w:b/>
              </w:rPr>
              <w:br/>
              <w:t>Richiesta</w:t>
            </w:r>
          </w:p>
        </w:tc>
        <w:tc>
          <w:tcPr>
            <w:tcW w:w="5620" w:type="dxa"/>
          </w:tcPr>
          <w:p w14:paraId="5D5B1B74" w14:textId="77777777" w:rsidR="005E5D65" w:rsidRDefault="005E5D65" w:rsidP="00600255">
            <w:pPr>
              <w:spacing w:after="0"/>
              <w:rPr>
                <w:b/>
              </w:rPr>
            </w:pPr>
            <w:r>
              <w:rPr>
                <w:b/>
              </w:rPr>
              <w:t>Begründung / Bemerkung</w:t>
            </w:r>
            <w:r>
              <w:rPr>
                <w:b/>
              </w:rPr>
              <w:br/>
              <w:t>Justification / Remarques</w:t>
            </w:r>
            <w:r>
              <w:rPr>
                <w:b/>
              </w:rPr>
              <w:br/>
              <w:t>Motivazione / Osservazioni</w:t>
            </w:r>
          </w:p>
        </w:tc>
        <w:tc>
          <w:tcPr>
            <w:tcW w:w="532" w:type="dxa"/>
            <w:tcBorders>
              <w:top w:val="nil"/>
              <w:bottom w:val="nil"/>
              <w:right w:val="nil"/>
            </w:tcBorders>
            <w:shd w:val="clear" w:color="auto" w:fill="auto"/>
          </w:tcPr>
          <w:p w14:paraId="0B392B47" w14:textId="77777777" w:rsidR="005E5D65" w:rsidRPr="00630F54" w:rsidRDefault="005E5D65" w:rsidP="00600255">
            <w:pPr>
              <w:widowControl/>
              <w:spacing w:after="0" w:line="240" w:lineRule="auto"/>
              <w:rPr>
                <w:b/>
              </w:rPr>
            </w:pPr>
          </w:p>
        </w:tc>
      </w:tr>
      <w:tr w:rsidR="005E5D65" w14:paraId="0DAD4D13" w14:textId="77777777" w:rsidTr="00600255">
        <w:tc>
          <w:tcPr>
            <w:tcW w:w="2943" w:type="dxa"/>
          </w:tcPr>
          <w:p w14:paraId="038AC1D4" w14:textId="77777777" w:rsidR="005E5D65" w:rsidRPr="00630F54" w:rsidRDefault="005E5D65" w:rsidP="00600255">
            <w:pPr>
              <w:pStyle w:val="Anhang"/>
              <w:tabs>
                <w:tab w:val="clear" w:pos="1276"/>
              </w:tabs>
              <w:spacing w:before="0" w:after="260"/>
              <w:outlineLvl w:val="9"/>
              <w:rPr>
                <w:lang w:val="de-CH" w:eastAsia="de-CH"/>
              </w:rPr>
            </w:pPr>
          </w:p>
        </w:tc>
        <w:tc>
          <w:tcPr>
            <w:tcW w:w="5529" w:type="dxa"/>
          </w:tcPr>
          <w:p w14:paraId="7D3A91E4" w14:textId="77777777" w:rsidR="005E5D65" w:rsidRPr="00630F54" w:rsidRDefault="005E5D65" w:rsidP="00600255"/>
        </w:tc>
        <w:tc>
          <w:tcPr>
            <w:tcW w:w="5620" w:type="dxa"/>
          </w:tcPr>
          <w:p w14:paraId="4AFBDAA7" w14:textId="77777777" w:rsidR="005E5D65" w:rsidRPr="00630F54" w:rsidRDefault="005E5D65" w:rsidP="00600255"/>
        </w:tc>
        <w:tc>
          <w:tcPr>
            <w:tcW w:w="532" w:type="dxa"/>
            <w:tcBorders>
              <w:top w:val="nil"/>
              <w:bottom w:val="nil"/>
              <w:right w:val="nil"/>
            </w:tcBorders>
            <w:shd w:val="clear" w:color="auto" w:fill="auto"/>
          </w:tcPr>
          <w:p w14:paraId="3B001834" w14:textId="77777777" w:rsidR="005E5D65" w:rsidRPr="00630F54" w:rsidRDefault="005E5D65" w:rsidP="00600255">
            <w:pPr>
              <w:rPr>
                <w:b/>
              </w:rPr>
            </w:pPr>
          </w:p>
        </w:tc>
      </w:tr>
    </w:tbl>
    <w:p w14:paraId="4C727EA2" w14:textId="77777777" w:rsidR="005E5D65" w:rsidRPr="00630F54" w:rsidRDefault="005E5D65" w:rsidP="005E5D65"/>
    <w:p w14:paraId="3F70E72A" w14:textId="77777777" w:rsidR="00841C62" w:rsidRPr="00841C62" w:rsidRDefault="00841C62" w:rsidP="00841C62"/>
    <w:sectPr w:rsidR="00841C62" w:rsidRPr="00841C62" w:rsidSect="00882AF3">
      <w:headerReference w:type="even" r:id="rId9"/>
      <w:headerReference w:type="default" r:id="rId10"/>
      <w:footerReference w:type="default" r:id="rId11"/>
      <w:headerReference w:type="first" r:id="rId12"/>
      <w:footerReference w:type="first" r:id="rId13"/>
      <w:pgSz w:w="16838" w:h="11906" w:orient="landscape" w:code="9"/>
      <w:pgMar w:top="1134" w:right="1134" w:bottom="-851" w:left="1701" w:header="680" w:footer="34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44" w:type="dxa"/>
      <w:tblLayout w:type="fixed"/>
      <w:tblCellMar>
        <w:left w:w="70" w:type="dxa"/>
        <w:right w:w="70" w:type="dxa"/>
      </w:tblCellMar>
      <w:tblLook w:val="01E0" w:firstRow="1" w:lastRow="1" w:firstColumn="1" w:lastColumn="1" w:noHBand="0" w:noVBand="0"/>
    </w:tblPr>
    <w:tblGrid>
      <w:gridCol w:w="14544"/>
    </w:tblGrid>
    <w:tr w:rsidR="00362129" w14:paraId="2FAAB4A0" w14:textId="77777777">
      <w:trPr>
        <w:cantSplit/>
        <w:trHeight w:val="714"/>
      </w:trPr>
      <w:tc>
        <w:tcPr>
          <w:tcW w:w="14544" w:type="dxa"/>
          <w:vAlign w:val="bottom"/>
        </w:tcPr>
        <w:p w14:paraId="4C7B4248" w14:textId="77777777" w:rsidR="00362129" w:rsidRDefault="0048659D">
          <w:pPr>
            <w:pStyle w:val="Seite"/>
            <w:rPr>
              <w:sz w:val="20"/>
              <w:szCs w:val="20"/>
            </w:rPr>
          </w:pPr>
          <w:r>
            <w:rPr>
              <w:sz w:val="20"/>
              <w:szCs w:val="20"/>
            </w:rPr>
            <w:fldChar w:fldCharType="begin"/>
          </w:r>
          <w:r>
            <w:rPr>
              <w:sz w:val="20"/>
              <w:szCs w:val="20"/>
            </w:rPr>
            <w:instrText xml:space="preserve"> PAGE  </w:instrText>
          </w:r>
          <w:r>
            <w:rPr>
              <w:sz w:val="20"/>
              <w:szCs w:val="20"/>
            </w:rPr>
            <w:fldChar w:fldCharType="separate"/>
          </w:r>
          <w:r>
            <w:rPr>
              <w:noProof/>
              <w:sz w:val="20"/>
              <w:szCs w:val="20"/>
            </w:rPr>
            <w:t>18</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Pr>
              <w:noProof/>
              <w:sz w:val="20"/>
              <w:szCs w:val="20"/>
            </w:rPr>
            <w:t>18</w:t>
          </w:r>
          <w:r>
            <w:rPr>
              <w:sz w:val="20"/>
              <w:szCs w:val="20"/>
            </w:rPr>
            <w:fldChar w:fldCharType="end"/>
          </w:r>
        </w:p>
      </w:tc>
    </w:tr>
  </w:tbl>
  <w:p w14:paraId="42E035B7" w14:textId="77777777" w:rsidR="00362129" w:rsidRDefault="0048659D">
    <w:pPr>
      <w:pStyle w:val="Platzhalter"/>
      <w:rPr>
        <w:lang w:val="en-US"/>
      </w:rPr>
    </w:pPr>
  </w:p>
  <w:p w14:paraId="2E799449" w14:textId="77777777" w:rsidR="00362129" w:rsidRDefault="0048659D">
    <w:pPr>
      <w:pStyle w:val="Platzhal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44" w:type="dxa"/>
      <w:tblLayout w:type="fixed"/>
      <w:tblCellMar>
        <w:left w:w="70" w:type="dxa"/>
        <w:right w:w="70" w:type="dxa"/>
      </w:tblCellMar>
      <w:tblLook w:val="01E0" w:firstRow="1" w:lastRow="1" w:firstColumn="1" w:lastColumn="1" w:noHBand="0" w:noVBand="0"/>
    </w:tblPr>
    <w:tblGrid>
      <w:gridCol w:w="14147"/>
      <w:gridCol w:w="397"/>
    </w:tblGrid>
    <w:tr w:rsidR="00362129" w14:paraId="2F4270D5" w14:textId="77777777">
      <w:trPr>
        <w:cantSplit/>
      </w:trPr>
      <w:tc>
        <w:tcPr>
          <w:tcW w:w="14544" w:type="dxa"/>
          <w:gridSpan w:val="2"/>
          <w:vAlign w:val="bottom"/>
        </w:tcPr>
        <w:p w14:paraId="4643B9F9" w14:textId="77777777" w:rsidR="00362129" w:rsidRDefault="0048659D">
          <w:pPr>
            <w:pStyle w:val="Seite"/>
            <w:rPr>
              <w:lang w:val="fr-FR"/>
            </w:rPr>
          </w:pPr>
        </w:p>
      </w:tc>
    </w:tr>
    <w:tr w:rsidR="00362129" w14:paraId="535D45F6" w14:textId="77777777">
      <w:trPr>
        <w:gridAfter w:val="1"/>
        <w:wAfter w:w="397" w:type="dxa"/>
        <w:cantSplit/>
        <w:trHeight w:hRule="exact" w:val="480"/>
      </w:trPr>
      <w:tc>
        <w:tcPr>
          <w:tcW w:w="14147" w:type="dxa"/>
          <w:vAlign w:val="bottom"/>
        </w:tcPr>
        <w:p w14:paraId="22EF5A05" w14:textId="77777777" w:rsidR="00362129" w:rsidRDefault="0048659D">
          <w:pPr>
            <w:pStyle w:val="Pfad"/>
            <w:tabs>
              <w:tab w:val="left" w:pos="4320"/>
            </w:tabs>
            <w:ind w:left="4320"/>
            <w:rPr>
              <w:lang w:val="fr-FR"/>
            </w:rPr>
          </w:pPr>
          <w:bookmarkStart w:id="9" w:name="_Hlk112468646"/>
        </w:p>
      </w:tc>
    </w:tr>
    <w:bookmarkEnd w:id="9"/>
  </w:tbl>
  <w:p w14:paraId="3C51C788" w14:textId="77777777" w:rsidR="00362129" w:rsidRDefault="0048659D">
    <w:pPr>
      <w:pStyle w:val="Platzhalter"/>
      <w:rPr>
        <w:lang w:val="fr-FR"/>
      </w:rPr>
    </w:pPr>
  </w:p>
  <w:p w14:paraId="28608C17" w14:textId="77777777" w:rsidR="00362129" w:rsidRDefault="0048659D">
    <w:pPr>
      <w:pStyle w:val="Platzhalter"/>
      <w:rPr>
        <w:lang w:val="fr-FR"/>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0F78C" w14:textId="77777777" w:rsidR="00362129" w:rsidRDefault="004865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176" w:type="dxa"/>
      <w:tblInd w:w="-72" w:type="dxa"/>
      <w:tblLayout w:type="fixed"/>
      <w:tblCellMar>
        <w:left w:w="70" w:type="dxa"/>
        <w:right w:w="70" w:type="dxa"/>
      </w:tblCellMar>
      <w:tblLook w:val="01E0" w:firstRow="1" w:lastRow="1" w:firstColumn="1" w:lastColumn="1" w:noHBand="0" w:noVBand="0"/>
    </w:tblPr>
    <w:tblGrid>
      <w:gridCol w:w="14176"/>
    </w:tblGrid>
    <w:tr w:rsidR="00362129" w14:paraId="3D9182AE" w14:textId="77777777">
      <w:trPr>
        <w:cantSplit/>
      </w:trPr>
      <w:tc>
        <w:tcPr>
          <w:tcW w:w="14176" w:type="dxa"/>
        </w:tcPr>
        <w:p w14:paraId="1EBC6C40" w14:textId="77777777" w:rsidR="00362129" w:rsidRDefault="0048659D">
          <w:pPr>
            <w:pStyle w:val="Logo"/>
            <w:rPr>
              <w:sz w:val="18"/>
              <w:szCs w:val="18"/>
            </w:rPr>
          </w:pPr>
        </w:p>
      </w:tc>
    </w:tr>
  </w:tbl>
  <w:p w14:paraId="124F263B" w14:textId="77777777" w:rsidR="00362129" w:rsidRDefault="0048659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42" w:type="dxa"/>
      <w:tblInd w:w="-595" w:type="dxa"/>
      <w:tblLayout w:type="fixed"/>
      <w:tblCellMar>
        <w:left w:w="70" w:type="dxa"/>
        <w:right w:w="70" w:type="dxa"/>
      </w:tblCellMar>
      <w:tblLook w:val="01E0" w:firstRow="1" w:lastRow="1" w:firstColumn="1" w:lastColumn="1" w:noHBand="0" w:noVBand="0"/>
    </w:tblPr>
    <w:tblGrid>
      <w:gridCol w:w="14742"/>
    </w:tblGrid>
    <w:tr w:rsidR="00362129" w14:paraId="4B6D2348" w14:textId="77777777">
      <w:trPr>
        <w:cantSplit/>
        <w:trHeight w:hRule="exact" w:val="575"/>
      </w:trPr>
      <w:tc>
        <w:tcPr>
          <w:tcW w:w="14742" w:type="dxa"/>
        </w:tcPr>
        <w:p w14:paraId="21EAE558" w14:textId="77777777" w:rsidR="00362129" w:rsidRDefault="0048659D">
          <w:pPr>
            <w:pStyle w:val="Kopfzeile"/>
            <w:jc w:val="right"/>
          </w:pPr>
        </w:p>
      </w:tc>
    </w:tr>
  </w:tbl>
  <w:p w14:paraId="34EF517B" w14:textId="77777777" w:rsidR="00362129" w:rsidRDefault="004865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19E"/>
    <w:multiLevelType w:val="multilevel"/>
    <w:tmpl w:val="0807001D"/>
    <w:styleLink w:val="Formatvorlage1"/>
    <w:lvl w:ilvl="0">
      <w:start w:val="1"/>
      <w:numFmt w:val="bullet"/>
      <w:lvlText w:val="–"/>
      <w:lvlJc w:val="left"/>
      <w:pPr>
        <w:ind w:left="360" w:hanging="360"/>
      </w:pPr>
      <w:rPr>
        <w:rFonts w:ascii="Arial" w:hAnsi="Aria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abstractNum w:abstractNumId="1" w15:restartNumberingAfterBreak="0">
    <w:nsid w:val="09FB0955"/>
    <w:multiLevelType w:val="singleLevel"/>
    <w:tmpl w:val="8D707BFE"/>
    <w:lvl w:ilvl="0">
      <w:start w:val="1"/>
      <w:numFmt w:val="lowerLetter"/>
      <w:pStyle w:val="Aufzhlungabc1cmeingerckt"/>
      <w:lvlText w:val="%1)"/>
      <w:lvlJc w:val="left"/>
      <w:pPr>
        <w:tabs>
          <w:tab w:val="num" w:pos="1134"/>
        </w:tabs>
        <w:ind w:left="1134" w:hanging="567"/>
      </w:pPr>
      <w:rPr>
        <w:rFonts w:ascii="Helvetica" w:hAnsi="Helvetica" w:hint="default"/>
        <w:b w:val="0"/>
        <w:i w:val="0"/>
        <w:sz w:val="20"/>
      </w:rPr>
    </w:lvl>
  </w:abstractNum>
  <w:abstractNum w:abstractNumId="2" w15:restartNumberingAfterBreak="0">
    <w:nsid w:val="0E6E3215"/>
    <w:multiLevelType w:val="hybridMultilevel"/>
    <w:tmpl w:val="F8EE5F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03917E7"/>
    <w:multiLevelType w:val="hybridMultilevel"/>
    <w:tmpl w:val="4684C2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D2B33F6"/>
    <w:multiLevelType w:val="multilevel"/>
    <w:tmpl w:val="0807001D"/>
    <w:numStyleLink w:val="Formatvorlage1"/>
  </w:abstractNum>
  <w:abstractNum w:abstractNumId="5" w15:restartNumberingAfterBreak="0">
    <w:nsid w:val="349317D8"/>
    <w:multiLevelType w:val="hybridMultilevel"/>
    <w:tmpl w:val="E5D233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A5923FB"/>
    <w:multiLevelType w:val="multilevel"/>
    <w:tmpl w:val="80328CD2"/>
    <w:lvl w:ilvl="0">
      <w:start w:val="1"/>
      <w:numFmt w:val="decimal"/>
      <w:pStyle w:val="berschrift4"/>
      <w:lvlText w:val="%1."/>
      <w:lvlJc w:val="left"/>
      <w:pPr>
        <w:ind w:left="851" w:hanging="851"/>
      </w:pPr>
    </w:lvl>
    <w:lvl w:ilvl="1">
      <w:start w:val="1"/>
      <w:numFmt w:val="decimal"/>
      <w:lvlRestart w:val="0"/>
      <w:pStyle w:val="berschrift5"/>
      <w:lvlText w:val="%1.%2."/>
      <w:lvlJc w:val="left"/>
      <w:pPr>
        <w:ind w:left="851" w:hanging="851"/>
      </w:pPr>
    </w:lvl>
    <w:lvl w:ilvl="2">
      <w:start w:val="1"/>
      <w:numFmt w:val="decimal"/>
      <w:lvlRestart w:val="0"/>
      <w:pStyle w:val="berschrift6"/>
      <w:lvlText w:val="%1.%2.%3."/>
      <w:lvlJc w:val="left"/>
      <w:pPr>
        <w:ind w:left="851" w:hanging="851"/>
      </w:pPr>
    </w:lvl>
    <w:lvl w:ilvl="3">
      <w:start w:val="1"/>
      <w:numFmt w:val="none"/>
      <w:lvlRestart w:val="0"/>
      <w:lvlText w:val=""/>
      <w:lvlJc w:val="left"/>
      <w:pPr>
        <w:ind w:left="851" w:hanging="851"/>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7" w15:restartNumberingAfterBreak="0">
    <w:nsid w:val="43FB3E15"/>
    <w:multiLevelType w:val="singleLevel"/>
    <w:tmpl w:val="E628382E"/>
    <w:lvl w:ilvl="0">
      <w:start w:val="1"/>
      <w:numFmt w:val="bullet"/>
      <w:pStyle w:val="AufzhlungPunkt1cmeingerckt"/>
      <w:lvlText w:val="•"/>
      <w:lvlJc w:val="left"/>
      <w:pPr>
        <w:tabs>
          <w:tab w:val="num" w:pos="927"/>
        </w:tabs>
        <w:ind w:left="851" w:hanging="284"/>
      </w:pPr>
      <w:rPr>
        <w:rFonts w:ascii="Arial" w:hAnsi="Arial" w:hint="default"/>
        <w:sz w:val="22"/>
      </w:rPr>
    </w:lvl>
  </w:abstractNum>
  <w:abstractNum w:abstractNumId="8" w15:restartNumberingAfterBreak="0">
    <w:nsid w:val="56011F47"/>
    <w:multiLevelType w:val="multilevel"/>
    <w:tmpl w:val="0807001D"/>
    <w:numStyleLink w:val="Formatvorlage1"/>
  </w:abstractNum>
  <w:abstractNum w:abstractNumId="9" w15:restartNumberingAfterBreak="0">
    <w:nsid w:val="573D7C23"/>
    <w:multiLevelType w:val="multilevel"/>
    <w:tmpl w:val="1E3EACCE"/>
    <w:lvl w:ilvl="0">
      <w:start w:val="1"/>
      <w:numFmt w:val="decimal"/>
      <w:pStyle w:val="ListNumeric1"/>
      <w:lvlText w:val="%1."/>
      <w:lvlJc w:val="left"/>
      <w:pPr>
        <w:tabs>
          <w:tab w:val="num" w:pos="567"/>
        </w:tabs>
        <w:ind w:left="567" w:hanging="567"/>
      </w:pPr>
    </w:lvl>
    <w:lvl w:ilvl="1">
      <w:start w:val="1"/>
      <w:numFmt w:val="decimal"/>
      <w:pStyle w:val="ListNumeric2"/>
      <w:lvlText w:val="%1.%2."/>
      <w:lvlJc w:val="left"/>
      <w:pPr>
        <w:tabs>
          <w:tab w:val="num" w:pos="1134"/>
        </w:tabs>
        <w:ind w:left="1134" w:hanging="567"/>
      </w:pPr>
    </w:lvl>
    <w:lvl w:ilvl="2">
      <w:start w:val="1"/>
      <w:numFmt w:val="decimal"/>
      <w:pStyle w:val="ListNumeric3"/>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9E74DBD"/>
    <w:multiLevelType w:val="hybridMultilevel"/>
    <w:tmpl w:val="4350DD92"/>
    <w:lvl w:ilvl="0" w:tplc="08070001">
      <w:start w:val="1"/>
      <w:numFmt w:val="bullet"/>
      <w:lvlText w:val=""/>
      <w:lvlJc w:val="left"/>
      <w:pPr>
        <w:ind w:left="1067" w:hanging="360"/>
      </w:pPr>
      <w:rPr>
        <w:rFonts w:ascii="Symbol" w:hAnsi="Symbol" w:hint="default"/>
      </w:rPr>
    </w:lvl>
    <w:lvl w:ilvl="1" w:tplc="08070003" w:tentative="1">
      <w:start w:val="1"/>
      <w:numFmt w:val="bullet"/>
      <w:lvlText w:val="o"/>
      <w:lvlJc w:val="left"/>
      <w:pPr>
        <w:ind w:left="1787" w:hanging="360"/>
      </w:pPr>
      <w:rPr>
        <w:rFonts w:ascii="Courier New" w:hAnsi="Courier New" w:cs="Courier New" w:hint="default"/>
      </w:rPr>
    </w:lvl>
    <w:lvl w:ilvl="2" w:tplc="08070005" w:tentative="1">
      <w:start w:val="1"/>
      <w:numFmt w:val="bullet"/>
      <w:lvlText w:val=""/>
      <w:lvlJc w:val="left"/>
      <w:pPr>
        <w:ind w:left="2507" w:hanging="360"/>
      </w:pPr>
      <w:rPr>
        <w:rFonts w:ascii="Wingdings" w:hAnsi="Wingdings" w:hint="default"/>
      </w:rPr>
    </w:lvl>
    <w:lvl w:ilvl="3" w:tplc="08070001" w:tentative="1">
      <w:start w:val="1"/>
      <w:numFmt w:val="bullet"/>
      <w:lvlText w:val=""/>
      <w:lvlJc w:val="left"/>
      <w:pPr>
        <w:ind w:left="3227" w:hanging="360"/>
      </w:pPr>
      <w:rPr>
        <w:rFonts w:ascii="Symbol" w:hAnsi="Symbol" w:hint="default"/>
      </w:rPr>
    </w:lvl>
    <w:lvl w:ilvl="4" w:tplc="08070003" w:tentative="1">
      <w:start w:val="1"/>
      <w:numFmt w:val="bullet"/>
      <w:lvlText w:val="o"/>
      <w:lvlJc w:val="left"/>
      <w:pPr>
        <w:ind w:left="3947" w:hanging="360"/>
      </w:pPr>
      <w:rPr>
        <w:rFonts w:ascii="Courier New" w:hAnsi="Courier New" w:cs="Courier New" w:hint="default"/>
      </w:rPr>
    </w:lvl>
    <w:lvl w:ilvl="5" w:tplc="08070005" w:tentative="1">
      <w:start w:val="1"/>
      <w:numFmt w:val="bullet"/>
      <w:lvlText w:val=""/>
      <w:lvlJc w:val="left"/>
      <w:pPr>
        <w:ind w:left="4667" w:hanging="360"/>
      </w:pPr>
      <w:rPr>
        <w:rFonts w:ascii="Wingdings" w:hAnsi="Wingdings" w:hint="default"/>
      </w:rPr>
    </w:lvl>
    <w:lvl w:ilvl="6" w:tplc="08070001" w:tentative="1">
      <w:start w:val="1"/>
      <w:numFmt w:val="bullet"/>
      <w:lvlText w:val=""/>
      <w:lvlJc w:val="left"/>
      <w:pPr>
        <w:ind w:left="5387" w:hanging="360"/>
      </w:pPr>
      <w:rPr>
        <w:rFonts w:ascii="Symbol" w:hAnsi="Symbol" w:hint="default"/>
      </w:rPr>
    </w:lvl>
    <w:lvl w:ilvl="7" w:tplc="08070003" w:tentative="1">
      <w:start w:val="1"/>
      <w:numFmt w:val="bullet"/>
      <w:lvlText w:val="o"/>
      <w:lvlJc w:val="left"/>
      <w:pPr>
        <w:ind w:left="6107" w:hanging="360"/>
      </w:pPr>
      <w:rPr>
        <w:rFonts w:ascii="Courier New" w:hAnsi="Courier New" w:cs="Courier New" w:hint="default"/>
      </w:rPr>
    </w:lvl>
    <w:lvl w:ilvl="8" w:tplc="08070005" w:tentative="1">
      <w:start w:val="1"/>
      <w:numFmt w:val="bullet"/>
      <w:lvlText w:val=""/>
      <w:lvlJc w:val="left"/>
      <w:pPr>
        <w:ind w:left="6827" w:hanging="360"/>
      </w:pPr>
      <w:rPr>
        <w:rFonts w:ascii="Wingdings" w:hAnsi="Wingdings" w:hint="default"/>
      </w:rPr>
    </w:lvl>
  </w:abstractNum>
  <w:abstractNum w:abstractNumId="11" w15:restartNumberingAfterBreak="0">
    <w:nsid w:val="69B2300E"/>
    <w:multiLevelType w:val="multilevel"/>
    <w:tmpl w:val="02BC4A44"/>
    <w:lvl w:ilvl="0">
      <w:start w:val="1"/>
      <w:numFmt w:val="bullet"/>
      <w:pStyle w:val="ListLine1"/>
      <w:lvlText w:val=""/>
      <w:lvlJc w:val="left"/>
      <w:pPr>
        <w:ind w:left="567" w:hanging="567"/>
      </w:pPr>
      <w:rPr>
        <w:rFonts w:ascii="Symbol" w:hAnsi="Symbol" w:hint="default"/>
        <w:color w:val="auto"/>
      </w:rPr>
    </w:lvl>
    <w:lvl w:ilvl="1">
      <w:start w:val="1"/>
      <w:numFmt w:val="bullet"/>
      <w:pStyle w:val="ListLine2"/>
      <w:lvlText w:val=""/>
      <w:lvlJc w:val="left"/>
      <w:pPr>
        <w:ind w:left="1134" w:hanging="567"/>
      </w:pPr>
      <w:rPr>
        <w:rFonts w:ascii="Symbol" w:hAnsi="Symbol" w:hint="default"/>
        <w:color w:val="auto"/>
      </w:rPr>
    </w:lvl>
    <w:lvl w:ilvl="2">
      <w:start w:val="1"/>
      <w:numFmt w:val="bullet"/>
      <w:pStyle w:val="ListLine3"/>
      <w:lvlText w:val=""/>
      <w:lvlJc w:val="left"/>
      <w:pPr>
        <w:tabs>
          <w:tab w:val="num" w:pos="1701"/>
        </w:tabs>
        <w:ind w:left="1701" w:hanging="567"/>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385456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71912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8824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3229424">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2706669">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6116786">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51794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95083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42372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73728443">
    <w:abstractNumId w:val="0"/>
  </w:num>
  <w:num w:numId="11" w16cid:durableId="300040954">
    <w:abstractNumId w:val="4"/>
  </w:num>
  <w:num w:numId="12" w16cid:durableId="439685151">
    <w:abstractNumId w:val="8"/>
  </w:num>
  <w:num w:numId="13" w16cid:durableId="576790981">
    <w:abstractNumId w:val="1"/>
  </w:num>
  <w:num w:numId="14" w16cid:durableId="909123798">
    <w:abstractNumId w:val="7"/>
  </w:num>
  <w:num w:numId="15" w16cid:durableId="1872106660">
    <w:abstractNumId w:val="10"/>
  </w:num>
  <w:num w:numId="16" w16cid:durableId="2044474408">
    <w:abstractNumId w:val="5"/>
  </w:num>
  <w:num w:numId="17" w16cid:durableId="800922991">
    <w:abstractNumId w:val="3"/>
  </w:num>
  <w:num w:numId="18" w16cid:durableId="1528638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D65"/>
    <w:rsid w:val="000440D4"/>
    <w:rsid w:val="001C06C8"/>
    <w:rsid w:val="002F357F"/>
    <w:rsid w:val="0048659D"/>
    <w:rsid w:val="00523749"/>
    <w:rsid w:val="005E5D65"/>
    <w:rsid w:val="006120F5"/>
    <w:rsid w:val="007E3E71"/>
    <w:rsid w:val="00841C62"/>
    <w:rsid w:val="00876640"/>
    <w:rsid w:val="0089323D"/>
    <w:rsid w:val="00B81FAE"/>
    <w:rsid w:val="00E800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0BBF"/>
  <w15:chartTrackingRefBased/>
  <w15:docId w15:val="{C95900BE-35A6-468E-B4B2-FCA0E9C7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1"/>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uiPriority="21" w:qFormat="1"/>
    <w:lsdException w:name="Subtle Reference" w:uiPriority="31" w:qFormat="1"/>
    <w:lsdException w:name="Intense Reference" w:uiPriority="31" w:qFormat="1"/>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5D65"/>
    <w:pPr>
      <w:widowControl w:val="0"/>
      <w:spacing w:after="260" w:line="260" w:lineRule="atLeast"/>
    </w:pPr>
    <w:rPr>
      <w:rFonts w:eastAsia="Times New Roman" w:cs="Times New Roman"/>
      <w:sz w:val="20"/>
      <w:szCs w:val="20"/>
      <w:lang w:eastAsia="de-CH"/>
    </w:rPr>
  </w:style>
  <w:style w:type="paragraph" w:styleId="berschrift1">
    <w:name w:val="heading 1"/>
    <w:basedOn w:val="Standard"/>
    <w:next w:val="Standard"/>
    <w:link w:val="berschrift1Zchn"/>
    <w:qFormat/>
    <w:rsid w:val="000440D4"/>
    <w:pPr>
      <w:keepNext/>
      <w:keepLines/>
      <w:spacing w:before="496" w:line="480" w:lineRule="exact"/>
      <w:outlineLvl w:val="0"/>
    </w:pPr>
    <w:rPr>
      <w:rFonts w:ascii="Arial Black" w:eastAsiaTheme="majorEastAsia" w:hAnsi="Arial Black" w:cstheme="majorBidi"/>
      <w:sz w:val="48"/>
      <w:szCs w:val="32"/>
    </w:rPr>
  </w:style>
  <w:style w:type="paragraph" w:styleId="berschrift2">
    <w:name w:val="heading 2"/>
    <w:basedOn w:val="berschrift1"/>
    <w:link w:val="berschrift2Zchn"/>
    <w:uiPriority w:val="9"/>
    <w:qFormat/>
    <w:rsid w:val="000440D4"/>
    <w:pPr>
      <w:spacing w:line="320" w:lineRule="exact"/>
      <w:outlineLvl w:val="1"/>
    </w:pPr>
    <w:rPr>
      <w:b/>
      <w:sz w:val="32"/>
      <w:szCs w:val="26"/>
    </w:rPr>
  </w:style>
  <w:style w:type="paragraph" w:styleId="berschrift3">
    <w:name w:val="heading 3"/>
    <w:basedOn w:val="berschrift2"/>
    <w:link w:val="berschrift3Zchn"/>
    <w:uiPriority w:val="9"/>
    <w:qFormat/>
    <w:rsid w:val="000440D4"/>
    <w:pPr>
      <w:spacing w:before="248" w:line="248" w:lineRule="exact"/>
      <w:outlineLvl w:val="2"/>
    </w:pPr>
    <w:rPr>
      <w:b w:val="0"/>
      <w:sz w:val="21"/>
    </w:rPr>
  </w:style>
  <w:style w:type="paragraph" w:styleId="berschrift4">
    <w:name w:val="heading 4"/>
    <w:basedOn w:val="berschrift3"/>
    <w:link w:val="berschrift4Zchn"/>
    <w:uiPriority w:val="9"/>
    <w:qFormat/>
    <w:rsid w:val="000440D4"/>
    <w:pPr>
      <w:numPr>
        <w:numId w:val="3"/>
      </w:numPr>
      <w:outlineLvl w:val="3"/>
    </w:pPr>
    <w:rPr>
      <w:iCs/>
    </w:rPr>
  </w:style>
  <w:style w:type="paragraph" w:styleId="berschrift5">
    <w:name w:val="heading 5"/>
    <w:basedOn w:val="berschrift4"/>
    <w:link w:val="berschrift5Zchn"/>
    <w:uiPriority w:val="9"/>
    <w:semiHidden/>
    <w:unhideWhenUsed/>
    <w:qFormat/>
    <w:rsid w:val="000440D4"/>
    <w:pPr>
      <w:numPr>
        <w:ilvl w:val="1"/>
      </w:numPr>
      <w:outlineLvl w:val="4"/>
    </w:pPr>
  </w:style>
  <w:style w:type="paragraph" w:styleId="berschrift6">
    <w:name w:val="heading 6"/>
    <w:basedOn w:val="berschrift5"/>
    <w:link w:val="berschrift6Zchn"/>
    <w:uiPriority w:val="9"/>
    <w:semiHidden/>
    <w:unhideWhenUsed/>
    <w:qFormat/>
    <w:rsid w:val="000440D4"/>
    <w:pPr>
      <w:numPr>
        <w:ilvl w:val="2"/>
      </w:num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440D4"/>
    <w:rPr>
      <w:rFonts w:ascii="Arial Black" w:eastAsiaTheme="majorEastAsia" w:hAnsi="Arial Black" w:cstheme="majorBidi"/>
      <w:sz w:val="48"/>
      <w:szCs w:val="32"/>
    </w:rPr>
  </w:style>
  <w:style w:type="character" w:customStyle="1" w:styleId="berschrift2Zchn">
    <w:name w:val="Überschrift 2 Zchn"/>
    <w:basedOn w:val="Absatz-Standardschriftart"/>
    <w:link w:val="berschrift2"/>
    <w:uiPriority w:val="9"/>
    <w:rsid w:val="00B81FAE"/>
    <w:rPr>
      <w:rFonts w:ascii="Arial Black" w:eastAsiaTheme="majorEastAsia" w:hAnsi="Arial Black" w:cstheme="majorBidi"/>
      <w:b/>
      <w:sz w:val="32"/>
      <w:szCs w:val="26"/>
    </w:rPr>
  </w:style>
  <w:style w:type="character" w:customStyle="1" w:styleId="berschrift3Zchn">
    <w:name w:val="Überschrift 3 Zchn"/>
    <w:basedOn w:val="Absatz-Standardschriftart"/>
    <w:link w:val="berschrift3"/>
    <w:uiPriority w:val="9"/>
    <w:rsid w:val="00B81FAE"/>
    <w:rPr>
      <w:rFonts w:ascii="Arial Black" w:eastAsiaTheme="majorEastAsia" w:hAnsi="Arial Black" w:cstheme="majorBidi"/>
      <w:sz w:val="21"/>
      <w:szCs w:val="26"/>
    </w:rPr>
  </w:style>
  <w:style w:type="character" w:customStyle="1" w:styleId="berschrift4Zchn">
    <w:name w:val="Überschrift 4 Zchn"/>
    <w:basedOn w:val="Absatz-Standardschriftart"/>
    <w:link w:val="berschrift4"/>
    <w:uiPriority w:val="9"/>
    <w:rsid w:val="00B81FAE"/>
    <w:rPr>
      <w:rFonts w:ascii="Arial Black" w:eastAsiaTheme="majorEastAsia" w:hAnsi="Arial Black" w:cstheme="majorBidi"/>
      <w:iCs/>
      <w:sz w:val="21"/>
      <w:szCs w:val="26"/>
    </w:rPr>
  </w:style>
  <w:style w:type="character" w:customStyle="1" w:styleId="berschrift5Zchn">
    <w:name w:val="Überschrift 5 Zchn"/>
    <w:basedOn w:val="Absatz-Standardschriftart"/>
    <w:link w:val="berschrift5"/>
    <w:uiPriority w:val="9"/>
    <w:semiHidden/>
    <w:rsid w:val="000440D4"/>
    <w:rPr>
      <w:rFonts w:ascii="Arial Black" w:eastAsiaTheme="majorEastAsia" w:hAnsi="Arial Black" w:cstheme="majorBidi"/>
      <w:iCs/>
      <w:sz w:val="21"/>
      <w:szCs w:val="26"/>
    </w:rPr>
  </w:style>
  <w:style w:type="character" w:customStyle="1" w:styleId="berschrift6Zchn">
    <w:name w:val="Überschrift 6 Zchn"/>
    <w:basedOn w:val="Absatz-Standardschriftart"/>
    <w:link w:val="berschrift6"/>
    <w:uiPriority w:val="9"/>
    <w:semiHidden/>
    <w:rsid w:val="000440D4"/>
    <w:rPr>
      <w:rFonts w:ascii="Arial Black" w:eastAsiaTheme="majorEastAsia" w:hAnsi="Arial Black" w:cstheme="majorBidi"/>
      <w:iCs/>
      <w:sz w:val="21"/>
      <w:szCs w:val="26"/>
    </w:rPr>
  </w:style>
  <w:style w:type="table" w:styleId="TabellemithellemGitternetz">
    <w:name w:val="Grid Table Light"/>
    <w:basedOn w:val="NormaleTabelle"/>
    <w:uiPriority w:val="40"/>
    <w:rsid w:val="00841C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Line1">
    <w:name w:val="ListLine1"/>
    <w:basedOn w:val="Standard"/>
    <w:uiPriority w:val="19"/>
    <w:qFormat/>
    <w:rsid w:val="000440D4"/>
    <w:pPr>
      <w:numPr>
        <w:numId w:val="6"/>
      </w:numPr>
      <w:spacing w:line="248" w:lineRule="exact"/>
      <w:contextualSpacing/>
    </w:pPr>
  </w:style>
  <w:style w:type="paragraph" w:customStyle="1" w:styleId="ListLine2">
    <w:name w:val="ListLine2"/>
    <w:basedOn w:val="ListLine1"/>
    <w:uiPriority w:val="19"/>
    <w:qFormat/>
    <w:rsid w:val="000440D4"/>
    <w:pPr>
      <w:numPr>
        <w:ilvl w:val="1"/>
      </w:numPr>
    </w:pPr>
  </w:style>
  <w:style w:type="paragraph" w:customStyle="1" w:styleId="ListLine3">
    <w:name w:val="ListLine3"/>
    <w:basedOn w:val="ListLine2"/>
    <w:uiPriority w:val="19"/>
    <w:qFormat/>
    <w:rsid w:val="000440D4"/>
    <w:pPr>
      <w:numPr>
        <w:ilvl w:val="2"/>
      </w:numPr>
    </w:pPr>
  </w:style>
  <w:style w:type="paragraph" w:customStyle="1" w:styleId="ListNumeric1">
    <w:name w:val="ListNumeric1"/>
    <w:basedOn w:val="Standard"/>
    <w:uiPriority w:val="19"/>
    <w:qFormat/>
    <w:rsid w:val="000440D4"/>
    <w:pPr>
      <w:numPr>
        <w:numId w:val="9"/>
      </w:numPr>
      <w:spacing w:line="248" w:lineRule="exact"/>
      <w:contextualSpacing/>
    </w:pPr>
  </w:style>
  <w:style w:type="paragraph" w:customStyle="1" w:styleId="ListNumeric2">
    <w:name w:val="ListNumeric2"/>
    <w:basedOn w:val="ListNumeric1"/>
    <w:uiPriority w:val="19"/>
    <w:qFormat/>
    <w:rsid w:val="000440D4"/>
    <w:pPr>
      <w:numPr>
        <w:ilvl w:val="1"/>
      </w:numPr>
    </w:pPr>
  </w:style>
  <w:style w:type="paragraph" w:customStyle="1" w:styleId="ListNumeric3">
    <w:name w:val="ListNumeric3"/>
    <w:basedOn w:val="ListNumeric2"/>
    <w:uiPriority w:val="19"/>
    <w:qFormat/>
    <w:rsid w:val="000440D4"/>
    <w:pPr>
      <w:numPr>
        <w:ilvl w:val="2"/>
      </w:numPr>
    </w:pPr>
  </w:style>
  <w:style w:type="paragraph" w:styleId="Titel">
    <w:name w:val="Title"/>
    <w:basedOn w:val="Standard"/>
    <w:next w:val="Standard"/>
    <w:link w:val="TitelZchn"/>
    <w:uiPriority w:val="29"/>
    <w:rsid w:val="00B81FAE"/>
    <w:pPr>
      <w:spacing w:line="480" w:lineRule="exact"/>
      <w:contextualSpacing/>
    </w:pPr>
    <w:rPr>
      <w:rFonts w:ascii="Arial Black" w:eastAsiaTheme="majorEastAsia" w:hAnsi="Arial Black" w:cstheme="majorBidi"/>
      <w:color w:val="0076BD" w:themeColor="accent1"/>
      <w:sz w:val="48"/>
      <w:szCs w:val="56"/>
    </w:rPr>
  </w:style>
  <w:style w:type="character" w:customStyle="1" w:styleId="TitelZchn">
    <w:name w:val="Titel Zchn"/>
    <w:basedOn w:val="Absatz-Standardschriftart"/>
    <w:link w:val="Titel"/>
    <w:uiPriority w:val="29"/>
    <w:rsid w:val="00841C62"/>
    <w:rPr>
      <w:rFonts w:ascii="Arial Black" w:eastAsiaTheme="majorEastAsia" w:hAnsi="Arial Black" w:cstheme="majorBidi"/>
      <w:color w:val="0076BD" w:themeColor="accent1"/>
      <w:sz w:val="48"/>
      <w:szCs w:val="56"/>
    </w:rPr>
  </w:style>
  <w:style w:type="paragraph" w:styleId="Untertitel">
    <w:name w:val="Subtitle"/>
    <w:basedOn w:val="Standard"/>
    <w:next w:val="Standard"/>
    <w:link w:val="UntertitelZchn"/>
    <w:uiPriority w:val="29"/>
    <w:qFormat/>
    <w:rsid w:val="00B81FAE"/>
    <w:pPr>
      <w:numPr>
        <w:ilvl w:val="1"/>
      </w:numPr>
    </w:pPr>
    <w:rPr>
      <w:rFonts w:ascii="Arial Black" w:eastAsiaTheme="minorEastAsia" w:hAnsi="Arial Black"/>
      <w:color w:val="0076BD" w:themeColor="accent1"/>
    </w:rPr>
  </w:style>
  <w:style w:type="character" w:customStyle="1" w:styleId="UntertitelZchn">
    <w:name w:val="Untertitel Zchn"/>
    <w:basedOn w:val="Absatz-Standardschriftart"/>
    <w:link w:val="Untertitel"/>
    <w:uiPriority w:val="29"/>
    <w:rsid w:val="00841C62"/>
    <w:rPr>
      <w:rFonts w:ascii="Arial Black" w:eastAsiaTheme="minorEastAsia" w:hAnsi="Arial Black"/>
      <w:color w:val="0076BD" w:themeColor="accent1"/>
    </w:rPr>
  </w:style>
  <w:style w:type="character" w:styleId="SchwacheHervorhebung">
    <w:name w:val="Subtle Emphasis"/>
    <w:basedOn w:val="Absatz-Standardschriftart"/>
    <w:uiPriority w:val="31"/>
    <w:qFormat/>
    <w:locked/>
    <w:rsid w:val="00B81FAE"/>
    <w:rPr>
      <w:i/>
      <w:iCs/>
      <w:color w:val="404040" w:themeColor="text1" w:themeTint="BF"/>
    </w:rPr>
  </w:style>
  <w:style w:type="character" w:styleId="Hervorhebung">
    <w:name w:val="Emphasis"/>
    <w:basedOn w:val="Absatz-Standardschriftart"/>
    <w:uiPriority w:val="31"/>
    <w:qFormat/>
    <w:rsid w:val="00B81FAE"/>
    <w:rPr>
      <w:i/>
      <w:iCs/>
    </w:rPr>
  </w:style>
  <w:style w:type="character" w:styleId="IntensiveHervorhebung">
    <w:name w:val="Intense Emphasis"/>
    <w:basedOn w:val="Absatz-Standardschriftart"/>
    <w:uiPriority w:val="31"/>
    <w:qFormat/>
    <w:rsid w:val="00B81FAE"/>
    <w:rPr>
      <w:b w:val="0"/>
      <w:i/>
      <w:iCs/>
      <w:color w:val="0076BD" w:themeColor="accent1"/>
    </w:rPr>
  </w:style>
  <w:style w:type="character" w:styleId="Fett">
    <w:name w:val="Strong"/>
    <w:basedOn w:val="Absatz-Standardschriftart"/>
    <w:uiPriority w:val="29"/>
    <w:qFormat/>
    <w:rsid w:val="00B81FAE"/>
    <w:rPr>
      <w:rFonts w:ascii="Arial Black" w:hAnsi="Arial Black"/>
      <w:b w:val="0"/>
      <w:bCs/>
    </w:rPr>
  </w:style>
  <w:style w:type="paragraph" w:styleId="Zitat">
    <w:name w:val="Quote"/>
    <w:basedOn w:val="Standard"/>
    <w:next w:val="Standard"/>
    <w:link w:val="ZitatZchn"/>
    <w:uiPriority w:val="29"/>
    <w:qFormat/>
    <w:rsid w:val="00B81FAE"/>
    <w:pPr>
      <w:spacing w:before="248" w:after="248"/>
      <w:ind w:left="851" w:right="851"/>
      <w:jc w:val="center"/>
    </w:pPr>
    <w:rPr>
      <w:i/>
      <w:iCs/>
      <w:color w:val="404040" w:themeColor="text1" w:themeTint="BF"/>
    </w:rPr>
  </w:style>
  <w:style w:type="character" w:customStyle="1" w:styleId="ZitatZchn">
    <w:name w:val="Zitat Zchn"/>
    <w:basedOn w:val="Absatz-Standardschriftart"/>
    <w:link w:val="Zitat"/>
    <w:uiPriority w:val="29"/>
    <w:rsid w:val="00841C62"/>
    <w:rPr>
      <w:i/>
      <w:iCs/>
      <w:color w:val="404040" w:themeColor="text1" w:themeTint="BF"/>
    </w:rPr>
  </w:style>
  <w:style w:type="paragraph" w:styleId="IntensivesZitat">
    <w:name w:val="Intense Quote"/>
    <w:basedOn w:val="Standard"/>
    <w:next w:val="Standard"/>
    <w:link w:val="IntensivesZitatZchn"/>
    <w:uiPriority w:val="31"/>
    <w:qFormat/>
    <w:rsid w:val="00B81FAE"/>
    <w:pPr>
      <w:pBdr>
        <w:top w:val="single" w:sz="4" w:space="10" w:color="0076BD" w:themeColor="accent1"/>
        <w:bottom w:val="single" w:sz="4" w:space="10" w:color="0076BD" w:themeColor="accent1"/>
      </w:pBdr>
      <w:spacing w:before="248" w:after="248"/>
      <w:ind w:left="851" w:right="851"/>
      <w:jc w:val="center"/>
    </w:pPr>
    <w:rPr>
      <w:i/>
      <w:iCs/>
      <w:color w:val="0076BD" w:themeColor="accent1"/>
    </w:rPr>
  </w:style>
  <w:style w:type="character" w:customStyle="1" w:styleId="IntensivesZitatZchn">
    <w:name w:val="Intensives Zitat Zchn"/>
    <w:basedOn w:val="Absatz-Standardschriftart"/>
    <w:link w:val="IntensivesZitat"/>
    <w:uiPriority w:val="31"/>
    <w:rsid w:val="00841C62"/>
    <w:rPr>
      <w:i/>
      <w:iCs/>
      <w:color w:val="0076BD" w:themeColor="accent1"/>
    </w:rPr>
  </w:style>
  <w:style w:type="character" w:styleId="Buchtitel">
    <w:name w:val="Book Title"/>
    <w:basedOn w:val="Absatz-Standardschriftart"/>
    <w:uiPriority w:val="33"/>
    <w:semiHidden/>
    <w:locked/>
    <w:rsid w:val="00841C62"/>
    <w:rPr>
      <w:b w:val="0"/>
      <w:bCs/>
      <w:i/>
      <w:iCs/>
      <w:spacing w:val="5"/>
    </w:rPr>
  </w:style>
  <w:style w:type="table" w:styleId="Tabellenraster">
    <w:name w:val="Table Grid"/>
    <w:basedOn w:val="NormaleTabelle"/>
    <w:uiPriority w:val="39"/>
    <w:rsid w:val="00841C62"/>
    <w:tblPr/>
    <w:tblStylePr w:type="firstRow">
      <w:rPr>
        <w:sz w:val="16"/>
      </w:rPr>
      <w:tblPr/>
      <w:tcPr>
        <w:tcBorders>
          <w:bottom w:val="single" w:sz="4" w:space="0" w:color="auto"/>
        </w:tcBorders>
      </w:tcPr>
    </w:tblStylePr>
    <w:tblStylePr w:type="lastRow">
      <w:tblPr/>
      <w:tcPr>
        <w:tcBorders>
          <w:top w:val="single" w:sz="4" w:space="0" w:color="auto"/>
          <w:bottom w:val="single" w:sz="4" w:space="0" w:color="auto"/>
        </w:tcBorders>
      </w:tcPr>
    </w:tblStylePr>
  </w:style>
  <w:style w:type="table" w:styleId="Gitternetztabelle1hell-Akzent2">
    <w:name w:val="Grid Table 1 Light Accent 2"/>
    <w:basedOn w:val="NormaleTabelle"/>
    <w:uiPriority w:val="46"/>
    <w:rsid w:val="00841C62"/>
    <w:tblPr>
      <w:tblStyleRowBandSize w:val="1"/>
      <w:tblStyleColBandSize w:val="1"/>
      <w:tblBorders>
        <w:top w:val="single" w:sz="4" w:space="0" w:color="FF8D9A" w:themeColor="accent2" w:themeTint="66"/>
        <w:left w:val="single" w:sz="4" w:space="0" w:color="FF8D9A" w:themeColor="accent2" w:themeTint="66"/>
        <w:bottom w:val="single" w:sz="4" w:space="0" w:color="FF8D9A" w:themeColor="accent2" w:themeTint="66"/>
        <w:right w:val="single" w:sz="4" w:space="0" w:color="FF8D9A" w:themeColor="accent2" w:themeTint="66"/>
        <w:insideH w:val="single" w:sz="4" w:space="0" w:color="FF8D9A" w:themeColor="accent2" w:themeTint="66"/>
        <w:insideV w:val="single" w:sz="4" w:space="0" w:color="FF8D9A" w:themeColor="accent2" w:themeTint="66"/>
      </w:tblBorders>
    </w:tblPr>
    <w:tblStylePr w:type="firstRow">
      <w:rPr>
        <w:b/>
        <w:bCs/>
      </w:rPr>
      <w:tblPr/>
      <w:tcPr>
        <w:tcBorders>
          <w:bottom w:val="single" w:sz="12" w:space="0" w:color="FF5467" w:themeColor="accent2" w:themeTint="99"/>
        </w:tcBorders>
      </w:tcPr>
    </w:tblStylePr>
    <w:tblStylePr w:type="lastRow">
      <w:rPr>
        <w:b/>
        <w:bCs/>
      </w:rPr>
      <w:tblPr/>
      <w:tcPr>
        <w:tcBorders>
          <w:top w:val="double" w:sz="2" w:space="0" w:color="FF5467" w:themeColor="accent2" w:themeTint="99"/>
        </w:tcBorders>
      </w:tcPr>
    </w:tblStylePr>
    <w:tblStylePr w:type="firstCol">
      <w:rPr>
        <w:b/>
        <w:bCs/>
      </w:rPr>
    </w:tblStylePr>
    <w:tblStylePr w:type="lastCol">
      <w:rPr>
        <w:b/>
        <w:bCs/>
      </w:rPr>
    </w:tblStylePr>
  </w:style>
  <w:style w:type="table" w:styleId="EinfacheTabelle1">
    <w:name w:val="Plain Table 1"/>
    <w:basedOn w:val="NormaleTabelle"/>
    <w:uiPriority w:val="41"/>
    <w:rsid w:val="00841C6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841C6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4">
    <w:name w:val="Plain Table 4"/>
    <w:basedOn w:val="NormaleTabelle"/>
    <w:uiPriority w:val="44"/>
    <w:rsid w:val="00841C6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841C6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
    <w:name w:val="Grid Table 1 Light"/>
    <w:basedOn w:val="NormaleTabelle"/>
    <w:uiPriority w:val="46"/>
    <w:rsid w:val="00841C6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Formatvorlage1">
    <w:name w:val="Formatvorlage1"/>
    <w:uiPriority w:val="99"/>
    <w:rsid w:val="00841C62"/>
    <w:pPr>
      <w:numPr>
        <w:numId w:val="10"/>
      </w:numPr>
    </w:pPr>
  </w:style>
  <w:style w:type="paragraph" w:styleId="Listenabsatz">
    <w:name w:val="List Paragraph"/>
    <w:basedOn w:val="Standard"/>
    <w:uiPriority w:val="34"/>
    <w:qFormat/>
    <w:rsid w:val="00841C62"/>
    <w:pPr>
      <w:ind w:left="720"/>
      <w:contextualSpacing/>
    </w:pPr>
  </w:style>
  <w:style w:type="paragraph" w:styleId="Kopfzeile">
    <w:name w:val="header"/>
    <w:basedOn w:val="Standard"/>
    <w:link w:val="KopfzeileZchn"/>
    <w:semiHidden/>
    <w:rsid w:val="005E5D65"/>
    <w:pPr>
      <w:widowControl/>
      <w:suppressAutoHyphens/>
      <w:spacing w:after="0" w:line="200" w:lineRule="exact"/>
    </w:pPr>
    <w:rPr>
      <w:bCs/>
      <w:noProof/>
      <w:sz w:val="15"/>
      <w:lang w:eastAsia="de-DE"/>
    </w:rPr>
  </w:style>
  <w:style w:type="character" w:customStyle="1" w:styleId="KopfzeileZchn">
    <w:name w:val="Kopfzeile Zchn"/>
    <w:basedOn w:val="Absatz-Standardschriftart"/>
    <w:link w:val="Kopfzeile"/>
    <w:semiHidden/>
    <w:rsid w:val="005E5D65"/>
    <w:rPr>
      <w:rFonts w:eastAsia="Times New Roman" w:cs="Times New Roman"/>
      <w:bCs/>
      <w:noProof/>
      <w:sz w:val="15"/>
      <w:szCs w:val="20"/>
      <w:lang w:eastAsia="de-DE"/>
    </w:rPr>
  </w:style>
  <w:style w:type="paragraph" w:customStyle="1" w:styleId="Logo">
    <w:name w:val="Logo"/>
    <w:rsid w:val="005E5D65"/>
    <w:rPr>
      <w:rFonts w:eastAsia="Times New Roman" w:cs="Times New Roman"/>
      <w:noProof/>
      <w:sz w:val="15"/>
      <w:szCs w:val="20"/>
      <w:lang w:eastAsia="de-CH"/>
    </w:rPr>
  </w:style>
  <w:style w:type="paragraph" w:customStyle="1" w:styleId="Pfad">
    <w:name w:val="Pfad"/>
    <w:next w:val="Fuzeile"/>
    <w:qFormat/>
    <w:rsid w:val="005E5D65"/>
    <w:pPr>
      <w:spacing w:line="160" w:lineRule="exact"/>
    </w:pPr>
    <w:rPr>
      <w:rFonts w:eastAsia="Times New Roman" w:cs="Times New Roman"/>
      <w:noProof/>
      <w:sz w:val="12"/>
      <w:szCs w:val="12"/>
      <w:lang w:eastAsia="de-CH"/>
    </w:rPr>
  </w:style>
  <w:style w:type="paragraph" w:customStyle="1" w:styleId="Seite">
    <w:name w:val="Seite"/>
    <w:basedOn w:val="Standard"/>
    <w:rsid w:val="005E5D65"/>
    <w:pPr>
      <w:suppressAutoHyphens/>
      <w:spacing w:line="200" w:lineRule="exact"/>
      <w:jc w:val="right"/>
    </w:pPr>
    <w:rPr>
      <w:sz w:val="14"/>
      <w:szCs w:val="14"/>
    </w:rPr>
  </w:style>
  <w:style w:type="paragraph" w:customStyle="1" w:styleId="Platzhalter">
    <w:name w:val="Platzhalter"/>
    <w:basedOn w:val="Standard"/>
    <w:next w:val="Standard"/>
    <w:rsid w:val="005E5D65"/>
    <w:pPr>
      <w:widowControl/>
      <w:spacing w:after="0" w:line="240" w:lineRule="auto"/>
    </w:pPr>
    <w:rPr>
      <w:sz w:val="2"/>
      <w:szCs w:val="2"/>
      <w:lang w:eastAsia="de-DE"/>
    </w:rPr>
  </w:style>
  <w:style w:type="paragraph" w:customStyle="1" w:styleId="Anhang">
    <w:name w:val="Anhang"/>
    <w:basedOn w:val="Standard"/>
    <w:next w:val="Standard"/>
    <w:rsid w:val="005E5D65"/>
    <w:pPr>
      <w:tabs>
        <w:tab w:val="left" w:pos="1276"/>
      </w:tabs>
      <w:spacing w:before="520" w:after="0"/>
      <w:outlineLvl w:val="0"/>
    </w:pPr>
    <w:rPr>
      <w:lang w:val="de-DE" w:eastAsia="de-DE"/>
    </w:rPr>
  </w:style>
  <w:style w:type="paragraph" w:customStyle="1" w:styleId="Aufzhlungabc1cmeingerckt">
    <w:name w:val="Aufzählung a)b)c) 1 cm eingerückt"/>
    <w:basedOn w:val="Standard"/>
    <w:rsid w:val="005E5D65"/>
    <w:pPr>
      <w:numPr>
        <w:numId w:val="13"/>
      </w:numPr>
      <w:spacing w:after="0"/>
    </w:pPr>
    <w:rPr>
      <w:lang w:eastAsia="de-DE"/>
    </w:rPr>
  </w:style>
  <w:style w:type="paragraph" w:customStyle="1" w:styleId="AufzhlungPunkt1cmeingerckt">
    <w:name w:val="Aufzählung Punkt 1 cm eingerückt"/>
    <w:basedOn w:val="Standard"/>
    <w:rsid w:val="005E5D65"/>
    <w:pPr>
      <w:numPr>
        <w:numId w:val="14"/>
      </w:numPr>
      <w:spacing w:after="0"/>
      <w:ind w:left="924" w:hanging="357"/>
    </w:pPr>
    <w:rPr>
      <w:lang w:eastAsia="de-DE"/>
    </w:rPr>
  </w:style>
  <w:style w:type="paragraph" w:customStyle="1" w:styleId="Betreff">
    <w:name w:val="Betreff"/>
    <w:basedOn w:val="Standard"/>
    <w:qFormat/>
    <w:rsid w:val="005E5D65"/>
    <w:pPr>
      <w:spacing w:before="440"/>
    </w:pPr>
    <w:rPr>
      <w:b/>
    </w:rPr>
  </w:style>
  <w:style w:type="paragraph" w:customStyle="1" w:styleId="Titel10Pt">
    <w:name w:val="Titel 10 Pt"/>
    <w:basedOn w:val="Standard"/>
    <w:next w:val="Standard"/>
    <w:qFormat/>
    <w:rsid w:val="005E5D65"/>
    <w:pPr>
      <w:spacing w:before="520"/>
    </w:pPr>
    <w:rPr>
      <w:b/>
    </w:rPr>
  </w:style>
  <w:style w:type="character" w:styleId="Hyperlink">
    <w:name w:val="Hyperlink"/>
    <w:uiPriority w:val="99"/>
    <w:unhideWhenUsed/>
    <w:rsid w:val="005E5D65"/>
    <w:rPr>
      <w:color w:val="0000FF"/>
      <w:u w:val="single"/>
    </w:rPr>
  </w:style>
  <w:style w:type="paragraph" w:styleId="Verzeichnis1">
    <w:name w:val="toc 1"/>
    <w:basedOn w:val="Standard"/>
    <w:next w:val="Standard"/>
    <w:autoRedefine/>
    <w:uiPriority w:val="39"/>
    <w:unhideWhenUsed/>
    <w:rsid w:val="005E5D65"/>
    <w:pPr>
      <w:tabs>
        <w:tab w:val="right" w:leader="dot" w:pos="14005"/>
      </w:tabs>
      <w:spacing w:after="60"/>
    </w:pPr>
  </w:style>
  <w:style w:type="paragraph" w:styleId="Blocktext">
    <w:name w:val="Block Text"/>
    <w:basedOn w:val="Standard"/>
    <w:qFormat/>
    <w:rsid w:val="005E5D65"/>
    <w:pPr>
      <w:widowControl/>
      <w:adjustRightInd w:val="0"/>
      <w:snapToGrid w:val="0"/>
      <w:spacing w:after="140" w:line="280" w:lineRule="atLeast"/>
    </w:pPr>
    <w:rPr>
      <w:szCs w:val="24"/>
    </w:rPr>
  </w:style>
  <w:style w:type="paragraph" w:styleId="Fuzeile">
    <w:name w:val="footer"/>
    <w:basedOn w:val="Standard"/>
    <w:link w:val="FuzeileZchn"/>
    <w:uiPriority w:val="99"/>
    <w:semiHidden/>
    <w:unhideWhenUsed/>
    <w:rsid w:val="005E5D6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E5D65"/>
    <w:rPr>
      <w:rFonts w:eastAsia="Times New Roman" w:cs="Times New Roman"/>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rgie@bwl.admin.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nergie@bwl.admin.c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ergie@bwl.admin.ch" TargetMode="External"/><Relationship Id="rId11" Type="http://schemas.openxmlformats.org/officeDocument/2006/relationships/footer" Target="footer1.xml"/><Relationship Id="rId5" Type="http://schemas.openxmlformats.org/officeDocument/2006/relationships/hyperlink" Target="mailto:matthias.moeller@bd.zh.ch" TargetMode="Externa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Thema farbig">
      <a:dk1>
        <a:sysClr val="windowText" lastClr="000000"/>
      </a:dk1>
      <a:lt1>
        <a:sysClr val="window" lastClr="FFFFFF"/>
      </a:lt1>
      <a:dk2>
        <a:srgbClr val="885EA0"/>
      </a:dk2>
      <a:lt2>
        <a:srgbClr val="EB690B"/>
      </a:lt2>
      <a:accent1>
        <a:srgbClr val="0076BD"/>
      </a:accent1>
      <a:accent2>
        <a:srgbClr val="E2001A"/>
      </a:accent2>
      <a:accent3>
        <a:srgbClr val="3EA743"/>
      </a:accent3>
      <a:accent4>
        <a:srgbClr val="FFCC00"/>
      </a:accent4>
      <a:accent5>
        <a:srgbClr val="009EE0"/>
      </a:accent5>
      <a:accent6>
        <a:srgbClr val="E30059"/>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3605</Words>
  <Characters>22716</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Kantonale Verwaltung Zuerich</Company>
  <LinksUpToDate>false</LinksUpToDate>
  <CharactersWithSpaces>26269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Ceretti</dc:creator>
  <cp:keywords/>
  <dc:description/>
  <cp:lastModifiedBy>Daniela Ceretti</cp:lastModifiedBy>
  <cp:revision>3</cp:revision>
  <dcterms:created xsi:type="dcterms:W3CDTF">2022-12-14T14:35:00Z</dcterms:created>
  <dcterms:modified xsi:type="dcterms:W3CDTF">2022-12-14T15:17:00Z</dcterms:modified>
</cp:coreProperties>
</file>